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A4" w:rsidRDefault="004629A4" w:rsidP="004629A4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Projekt z 14-11-2016</w:t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629A4" w:rsidRPr="00D80FE1" w:rsidRDefault="004629A4" w:rsidP="004629A4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Pr="00455FA3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XX</w:t>
      </w:r>
      <w:r>
        <w:rPr>
          <w:b/>
          <w:sz w:val="28"/>
          <w:szCs w:val="28"/>
        </w:rPr>
        <w:t xml:space="preserve">II/  </w:t>
      </w:r>
      <w:r>
        <w:rPr>
          <w:b/>
          <w:sz w:val="28"/>
          <w:szCs w:val="28"/>
        </w:rPr>
        <w:t>/2016</w:t>
      </w:r>
    </w:p>
    <w:p w:rsidR="004629A4" w:rsidRDefault="004629A4" w:rsidP="004629A4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4629A4" w:rsidRPr="006E4F53" w:rsidRDefault="004629A4" w:rsidP="004629A4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>.. listopada</w:t>
      </w:r>
      <w:r>
        <w:rPr>
          <w:b/>
          <w:sz w:val="28"/>
          <w:szCs w:val="28"/>
        </w:rPr>
        <w:t xml:space="preserve"> 2016 roku</w:t>
      </w:r>
    </w:p>
    <w:p w:rsidR="004629A4" w:rsidRPr="003E0737" w:rsidRDefault="004629A4" w:rsidP="004629A4">
      <w:pPr>
        <w:pStyle w:val="Normalny1"/>
      </w:pPr>
    </w:p>
    <w:p w:rsidR="004629A4" w:rsidRPr="003E0737" w:rsidRDefault="004629A4" w:rsidP="004629A4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2016-2026</w:t>
      </w:r>
    </w:p>
    <w:p w:rsidR="004629A4" w:rsidRDefault="004629A4" w:rsidP="004629A4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Dz.U. z 2016r.,poz. 446), art.226, 227, 228, 230 ust.6 ustawy z dnia 27 sierpnia 2009 roku </w:t>
      </w:r>
      <w:r>
        <w:br/>
        <w:t>o finansach publicznych (</w:t>
      </w:r>
      <w:proofErr w:type="spellStart"/>
      <w:r>
        <w:t>t.j</w:t>
      </w:r>
      <w:proofErr w:type="spellEnd"/>
      <w:r>
        <w:t>. Dz. U. z 2013r., poz. 885 z późniejszymi zmianami)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4629A4" w:rsidRDefault="004629A4" w:rsidP="004629A4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4629A4" w:rsidRDefault="004629A4" w:rsidP="004629A4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XX/172/2015 Rady Miejskiej w Rogoźnie z dnia 30 grudnia 2015 roku w sprawie uchwalenia Wieloletniej Prognozy Finansowej Gminy Rogoźno na lata 2016-2026 dokonuje się następujących zmian:</w:t>
      </w:r>
    </w:p>
    <w:p w:rsidR="004629A4" w:rsidRPr="00FD39B4" w:rsidRDefault="004629A4" w:rsidP="004629A4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długu, zgodnie z załącznikiem nr 1.</w:t>
      </w:r>
    </w:p>
    <w:p w:rsidR="004629A4" w:rsidRPr="003E0737" w:rsidRDefault="004629A4" w:rsidP="004629A4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Zmienia się załącznik Nr 2 obejmujący</w:t>
      </w:r>
      <w:r>
        <w:t xml:space="preserve"> wieloletnie przedsięwzięcia finansowe, zgodnie z załącznikiem nr 2.</w:t>
      </w:r>
    </w:p>
    <w:p w:rsidR="004629A4" w:rsidRDefault="004629A4" w:rsidP="004629A4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4629A4" w:rsidRDefault="004629A4" w:rsidP="004629A4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4629A4" w:rsidRDefault="004629A4" w:rsidP="004629A4">
      <w:pPr>
        <w:pStyle w:val="Normalny1"/>
        <w:spacing w:line="100" w:lineRule="atLeast"/>
        <w:jc w:val="both"/>
      </w:pPr>
    </w:p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4629A4" w:rsidRDefault="004629A4" w:rsidP="004629A4"/>
    <w:p w:rsidR="001B5391" w:rsidRDefault="001B5391"/>
    <w:sectPr w:rsidR="001B539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A4"/>
    <w:rsid w:val="001B5391"/>
    <w:rsid w:val="0046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9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629A4"/>
  </w:style>
  <w:style w:type="paragraph" w:customStyle="1" w:styleId="Normalny1">
    <w:name w:val="Normalny1"/>
    <w:rsid w:val="004629A4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629A4"/>
    <w:pPr>
      <w:ind w:left="720"/>
    </w:pPr>
  </w:style>
  <w:style w:type="paragraph" w:styleId="Bezodstpw">
    <w:name w:val="No Spacing"/>
    <w:qFormat/>
    <w:rsid w:val="004629A4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9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629A4"/>
  </w:style>
  <w:style w:type="paragraph" w:customStyle="1" w:styleId="Normalny1">
    <w:name w:val="Normalny1"/>
    <w:rsid w:val="004629A4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4629A4"/>
    <w:pPr>
      <w:ind w:left="720"/>
    </w:pPr>
  </w:style>
  <w:style w:type="paragraph" w:styleId="Bezodstpw">
    <w:name w:val="No Spacing"/>
    <w:qFormat/>
    <w:rsid w:val="004629A4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2016-11-14T16:46:00Z</dcterms:created>
  <dcterms:modified xsi:type="dcterms:W3CDTF">2016-11-14T16:47:00Z</dcterms:modified>
</cp:coreProperties>
</file>