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A42" w:rsidRPr="00FF73AB"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8"/>
          <w:szCs w:val="28"/>
        </w:rPr>
      </w:pPr>
      <w:r w:rsidRPr="00FF73AB">
        <w:rPr>
          <w:rFonts w:ascii="Times New Roman" w:hAnsi="Times New Roman" w:cs="Times New Roman"/>
          <w:color w:val="000081"/>
          <w:sz w:val="28"/>
          <w:szCs w:val="28"/>
        </w:rPr>
        <w:t>OBJA</w:t>
      </w:r>
      <w:r w:rsidRPr="00FF73AB">
        <w:rPr>
          <w:rFonts w:ascii="Arial" w:hAnsi="Arial" w:cs="Arial"/>
          <w:color w:val="000081"/>
          <w:sz w:val="28"/>
          <w:szCs w:val="28"/>
        </w:rPr>
        <w:t>Ś</w:t>
      </w:r>
      <w:r w:rsidRPr="00FF73AB">
        <w:rPr>
          <w:rFonts w:ascii="Times New Roman" w:hAnsi="Times New Roman" w:cs="Times New Roman"/>
          <w:color w:val="000081"/>
          <w:sz w:val="28"/>
          <w:szCs w:val="28"/>
        </w:rPr>
        <w:t>NIENIA PRZYJ</w:t>
      </w:r>
      <w:r w:rsidRPr="00FF73AB">
        <w:rPr>
          <w:rFonts w:ascii="Arial" w:hAnsi="Arial" w:cs="Arial"/>
          <w:color w:val="000081"/>
          <w:sz w:val="28"/>
          <w:szCs w:val="28"/>
        </w:rPr>
        <w:t>Ę</w:t>
      </w:r>
      <w:r w:rsidRPr="00FF73AB">
        <w:rPr>
          <w:rFonts w:ascii="Times New Roman" w:hAnsi="Times New Roman" w:cs="Times New Roman"/>
          <w:color w:val="000081"/>
          <w:sz w:val="28"/>
          <w:szCs w:val="28"/>
        </w:rPr>
        <w:t>TYCH WIELKO</w:t>
      </w:r>
      <w:r w:rsidRPr="00FF73AB">
        <w:rPr>
          <w:rFonts w:ascii="Arial" w:hAnsi="Arial" w:cs="Arial"/>
          <w:color w:val="000081"/>
          <w:sz w:val="28"/>
          <w:szCs w:val="28"/>
        </w:rPr>
        <w:t>Ś</w:t>
      </w:r>
      <w:r w:rsidRPr="00FF73AB">
        <w:rPr>
          <w:rFonts w:ascii="Times New Roman" w:hAnsi="Times New Roman" w:cs="Times New Roman"/>
          <w:color w:val="000081"/>
          <w:sz w:val="28"/>
          <w:szCs w:val="28"/>
        </w:rPr>
        <w:t xml:space="preserve">CI </w:t>
      </w:r>
      <w:r w:rsidRPr="00FF73AB">
        <w:rPr>
          <w:rFonts w:ascii="Times New Roman" w:hAnsi="Times New Roman" w:cs="Times New Roman"/>
          <w:color w:val="000081"/>
          <w:sz w:val="28"/>
          <w:szCs w:val="28"/>
        </w:rPr>
        <w:br/>
        <w:t>W WIELOLETNIEJ PROGNOZIE FINANSOWEJ</w:t>
      </w:r>
    </w:p>
    <w:p w:rsidR="00345A42" w:rsidRPr="00FF73AB"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8"/>
          <w:szCs w:val="28"/>
        </w:rPr>
      </w:pPr>
      <w:r w:rsidRPr="00FF73AB">
        <w:rPr>
          <w:rFonts w:ascii="Times New Roman" w:hAnsi="Times New Roman" w:cs="Times New Roman"/>
          <w:color w:val="000081"/>
          <w:sz w:val="28"/>
          <w:szCs w:val="28"/>
        </w:rPr>
        <w:t>GMINY ROGOŹNO NA LATA 2015-2025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
          <w:bCs/>
          <w:color w:val="000000"/>
          <w:sz w:val="24"/>
          <w:szCs w:val="24"/>
        </w:rPr>
      </w:pPr>
    </w:p>
    <w:p w:rsidR="00345A42" w:rsidRPr="00394367" w:rsidRDefault="00345A42" w:rsidP="00345A4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394367" w:rsidRPr="00345A42" w:rsidRDefault="00394367" w:rsidP="00394367">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Cs/>
          <w:sz w:val="24"/>
          <w:szCs w:val="24"/>
        </w:rPr>
      </w:pPr>
      <w:r w:rsidRPr="00394367">
        <w:rPr>
          <w:rFonts w:ascii="Times New Roman" w:hAnsi="Times New Roman" w:cs="Times New Roman"/>
          <w:bCs/>
          <w:sz w:val="24"/>
          <w:szCs w:val="24"/>
        </w:rPr>
        <w:t>W stosunku do uchwalonej Wieloletniej Prognozy Finansowej Gminy Rogoźno na lata 2015-2025 w dniu  21 stycznia 2015 roku</w:t>
      </w:r>
      <w:r>
        <w:rPr>
          <w:rFonts w:ascii="Times New Roman" w:hAnsi="Times New Roman" w:cs="Times New Roman"/>
          <w:bCs/>
          <w:sz w:val="24"/>
          <w:szCs w:val="24"/>
        </w:rPr>
        <w:t xml:space="preserve"> dokonano w niniejszym dokumencie zmian wynikających ze zwiększenia dochodów, wydatków i przychodów  wprowadzonych w okresie od </w:t>
      </w:r>
      <w:r w:rsidR="00FF73AB">
        <w:rPr>
          <w:rFonts w:ascii="Times New Roman" w:hAnsi="Times New Roman" w:cs="Times New Roman"/>
          <w:bCs/>
          <w:sz w:val="24"/>
          <w:szCs w:val="24"/>
        </w:rPr>
        <w:t>16 lutego do 2</w:t>
      </w:r>
      <w:r w:rsidR="00DA7644">
        <w:rPr>
          <w:rFonts w:ascii="Times New Roman" w:hAnsi="Times New Roman" w:cs="Times New Roman"/>
          <w:bCs/>
          <w:sz w:val="24"/>
          <w:szCs w:val="24"/>
        </w:rPr>
        <w:t>9</w:t>
      </w:r>
      <w:r w:rsidR="00FF73AB">
        <w:rPr>
          <w:rFonts w:ascii="Times New Roman" w:hAnsi="Times New Roman" w:cs="Times New Roman"/>
          <w:bCs/>
          <w:sz w:val="24"/>
          <w:szCs w:val="24"/>
        </w:rPr>
        <w:t xml:space="preserve"> </w:t>
      </w:r>
      <w:r w:rsidR="00DA7644">
        <w:rPr>
          <w:rFonts w:ascii="Times New Roman" w:hAnsi="Times New Roman" w:cs="Times New Roman"/>
          <w:bCs/>
          <w:sz w:val="24"/>
          <w:szCs w:val="24"/>
        </w:rPr>
        <w:t xml:space="preserve">czerwca </w:t>
      </w:r>
      <w:r w:rsidR="00FF73AB">
        <w:rPr>
          <w:rFonts w:ascii="Times New Roman" w:hAnsi="Times New Roman" w:cs="Times New Roman"/>
          <w:bCs/>
          <w:sz w:val="24"/>
          <w:szCs w:val="24"/>
        </w:rPr>
        <w:t>2015 roku w budżecie gminy.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sidR="00394367">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finansowej (WPF). Prognozę tę opracowuje się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sidR="009815D1">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 także dokonanie oceny zdolności kredytowej oraz wskaże możliwości inwestycyjne</w:t>
      </w:r>
      <w:r w:rsidR="009815D1">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gminy Rogoźno, w tym skuteczną aplikację środków finansowych z Unii Europejskiej. Wieloletnia prognoza finansowa definiująca, z jednej strony możliwości pozyskania dochodów, z drugiej - kierunki ich wydatkowania, pozwoli na usystematyzowanie procesu realizacji inwestycji planowanych w perspektywie do 2018 roku, umożliwi długofalowe i racjonalne zaplanowanie wydatków, umożliwi także rozpoczęcie </w:t>
      </w:r>
      <w:r w:rsidR="009815D1">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 prawnymi, uzyskaniem  wymaganych prawem decyzji oraz pozyskaniem środków finansowych ze źródeł zewnętrznych.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1. </w:t>
      </w:r>
      <w:r w:rsidRPr="00345A42">
        <w:rPr>
          <w:rFonts w:ascii="Times New Roman" w:hAnsi="Times New Roman" w:cs="Times New Roman"/>
          <w:color w:val="000000"/>
          <w:sz w:val="24"/>
          <w:szCs w:val="24"/>
        </w:rPr>
        <w:t>własne, wynikające z ustaw ustrojowych,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2. </w:t>
      </w:r>
      <w:r w:rsidRPr="00345A42">
        <w:rPr>
          <w:rFonts w:ascii="Times New Roman" w:hAnsi="Times New Roman" w:cs="Times New Roman"/>
          <w:color w:val="000000"/>
          <w:sz w:val="24"/>
          <w:szCs w:val="24"/>
        </w:rPr>
        <w:t>z zakresu administracji rządowej i inne zlecone ustawami,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3. </w:t>
      </w:r>
      <w:r w:rsidRPr="00345A42">
        <w:rPr>
          <w:rFonts w:ascii="Times New Roman" w:hAnsi="Times New Roman" w:cs="Times New Roman"/>
          <w:color w:val="000000"/>
          <w:sz w:val="24"/>
          <w:szCs w:val="24"/>
        </w:rPr>
        <w:t>wykonywane na podstawie porozumień /umów z organami administracji rządowej,</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4. </w:t>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5. </w:t>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2015-2025 zostały wyszacowane w oparciu 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Przepisy prawa zewnętrznego (ustawy i rozporządzenia), a w szczególności ustawy: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a) z dnia 8 marca 1990 r. o samorządzie gminnym,</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b) z dnia 27 sierpnia 2009 r. o finansach publicznych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c) z dnia 13 listopada 2003 r. o dochodach jednostek samorządu terytorialnego.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00FF73AB">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sidR="00FF73AB">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lastRenderedPageBreak/>
        <w:t xml:space="preserve">5. </w:t>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rPr>
        <w:t xml:space="preserve">6. </w:t>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7. </w:t>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polega na tym, że w przypadku występowania deficytu, konieczne jest Wskazanie źródeł jego pokrycia, natomiast w przypadku nadwyżki budżetowej – wskazanie jej przeznaczenia,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sidR="00FF73AB">
        <w:rPr>
          <w:rFonts w:ascii="Times New Roman" w:hAnsi="Times New Roman" w:cs="Times New Roman"/>
          <w:sz w:val="24"/>
          <w:szCs w:val="24"/>
        </w:rPr>
        <w:t>a</w:t>
      </w:r>
      <w:r w:rsidRPr="00345A42">
        <w:rPr>
          <w:rFonts w:ascii="Times New Roman" w:hAnsi="Times New Roman" w:cs="Times New Roman"/>
          <w:sz w:val="24"/>
          <w:szCs w:val="24"/>
        </w:rPr>
        <w:t xml:space="preserve"> z budżetem 2015 roku oraz prognozą budżetową na lata następne. WPF jest sporządzana na okres roku budżetowego oraz co najmniej trzech kolejnych lat.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2015 – 2025 stanowi załącznik Nr 1 do uchwały w sprawie uchwalenia Wieloletniej Prognozy Finansowej Gminy Rogoźno na lata 2015-2025</w:t>
      </w:r>
      <w:r w:rsidR="00FF73AB">
        <w:rPr>
          <w:rFonts w:ascii="Times New Roman" w:hAnsi="Times New Roman" w:cs="Times New Roman"/>
          <w:sz w:val="24"/>
          <w:szCs w:val="24"/>
        </w:rPr>
        <w:t xml:space="preserve"> po dokonanej zmianie</w:t>
      </w:r>
      <w:r w:rsidRPr="00345A42">
        <w:rPr>
          <w:rFonts w:ascii="Times New Roman" w:hAnsi="Times New Roman" w:cs="Times New Roman"/>
          <w:sz w:val="24"/>
          <w:szCs w:val="24"/>
        </w:rPr>
        <w: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2015-2025”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Podatki i opłaty lokalne,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Udział Gminy we wpływach z podatku dochodowego od osób fizycznych i prawnych (PIT, CIT),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3. Wpływy z podatków pobieranych przez urzędy skarbowe na rzecz Gminy,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4. Subwencja ogólna z budżetu państwa,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5. Dotacje celowe z budżetu państwa na zadania własne, zlecone,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6. Dotacje i środki, o których mowa w art.5 ust.1 pkt.2 i 3 ustawy o finansach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publicznych,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7. Pozostałe dochody.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Przyjęte założenia co do kształtowania się poszczególnych grup dochodów oraz źródeł dochodów zostaną przedstawione w dalszej części.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wynagrodzenia i składki od nich naliczane,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2. wydatki związane z funkcjonowaniem organów jednostki samorządu terytorialnego.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Przyjęto horyzont Wieloletniej Prognozy Finansowej (WPF) pozwalający na prognozę sytuacji budżetu Gminy do momentu spłaty wszystkich istniejących oraz przyszłych zobowiązań dłużnych. Założono, iż kredyty będą zaciągane do 2014 r. włącznie. Od 2015 r.  przychody z tytułu kredytów przyjęto na poziomie zerowym.</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dla oszacowania wpływów z tytułu udziału w podatkach PIT i CIT, głównego obok subwencji i dotacji, źródła dochodów własnych.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W  kwietniu 201</w:t>
      </w:r>
      <w:r w:rsidR="00CB67B6">
        <w:rPr>
          <w:rFonts w:ascii="Times New Roman" w:hAnsi="Times New Roman" w:cs="Times New Roman"/>
          <w:sz w:val="24"/>
          <w:szCs w:val="24"/>
        </w:rPr>
        <w:t>5</w:t>
      </w:r>
      <w:r w:rsidRPr="00345A42">
        <w:rPr>
          <w:rFonts w:ascii="Times New Roman" w:hAnsi="Times New Roman" w:cs="Times New Roman"/>
          <w:sz w:val="24"/>
          <w:szCs w:val="24"/>
        </w:rPr>
        <w:t xml:space="preserve"> roku Rada Ministrów przyjęła zaktualizowany Wieloletni Plan Finansowy Państwa na lata 201</w:t>
      </w:r>
      <w:r w:rsidR="00CB67B6">
        <w:rPr>
          <w:rFonts w:ascii="Times New Roman" w:hAnsi="Times New Roman" w:cs="Times New Roman"/>
          <w:sz w:val="24"/>
          <w:szCs w:val="24"/>
        </w:rPr>
        <w:t>5</w:t>
      </w:r>
      <w:r w:rsidRPr="00345A42">
        <w:rPr>
          <w:rFonts w:ascii="Times New Roman" w:hAnsi="Times New Roman" w:cs="Times New Roman"/>
          <w:sz w:val="24"/>
          <w:szCs w:val="24"/>
        </w:rPr>
        <w:t xml:space="preserve"> -201</w:t>
      </w:r>
      <w:r w:rsidR="00CB67B6">
        <w:rPr>
          <w:rFonts w:ascii="Times New Roman" w:hAnsi="Times New Roman" w:cs="Times New Roman"/>
          <w:sz w:val="24"/>
          <w:szCs w:val="24"/>
        </w:rPr>
        <w:t>8</w:t>
      </w:r>
      <w:r w:rsidRPr="00345A42">
        <w:rPr>
          <w:rFonts w:ascii="Times New Roman" w:hAnsi="Times New Roman" w:cs="Times New Roman"/>
          <w:sz w:val="24"/>
          <w:szCs w:val="24"/>
        </w:rPr>
        <w:t xml:space="preserve"> (WPFP).</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sidR="00CB67B6">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składać się z dwóch części: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sidR="00CB67B6">
        <w:rPr>
          <w:rFonts w:ascii="Times New Roman" w:hAnsi="Times New Roman" w:cs="Times New Roman"/>
          <w:sz w:val="24"/>
          <w:szCs w:val="24"/>
        </w:rPr>
        <w:t>5</w:t>
      </w:r>
      <w:r w:rsidRPr="00345A42">
        <w:rPr>
          <w:rFonts w:ascii="Times New Roman" w:hAnsi="Times New Roman" w:cs="Times New Roman"/>
          <w:sz w:val="24"/>
          <w:szCs w:val="24"/>
        </w:rPr>
        <w:t xml:space="preserve"> – 201</w:t>
      </w:r>
      <w:r w:rsidR="00CB67B6">
        <w:rPr>
          <w:rFonts w:ascii="Times New Roman" w:hAnsi="Times New Roman" w:cs="Times New Roman"/>
          <w:sz w:val="24"/>
          <w:szCs w:val="24"/>
        </w:rPr>
        <w:t>8</w:t>
      </w:r>
      <w:r w:rsidRPr="00345A42">
        <w:rPr>
          <w:rFonts w:ascii="Times New Roman" w:hAnsi="Times New Roman" w:cs="Times New Roman"/>
          <w:sz w:val="24"/>
          <w:szCs w:val="24"/>
        </w:rPr>
        <w:t xml:space="preserve"> jest dokumentem przygotowanym według nowego układu </w:t>
      </w:r>
      <w:r w:rsidR="002765FD">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sidR="00CB67B6">
        <w:rPr>
          <w:rFonts w:ascii="Times New Roman" w:hAnsi="Times New Roman" w:cs="Times New Roman"/>
          <w:sz w:val="24"/>
          <w:szCs w:val="24"/>
        </w:rPr>
        <w:t>5</w:t>
      </w:r>
      <w:r w:rsidRPr="00345A42">
        <w:rPr>
          <w:rFonts w:ascii="Times New Roman" w:hAnsi="Times New Roman" w:cs="Times New Roman"/>
          <w:sz w:val="24"/>
          <w:szCs w:val="24"/>
        </w:rPr>
        <w:t>-201</w:t>
      </w:r>
      <w:r w:rsidR="00CB67B6">
        <w:rPr>
          <w:rFonts w:ascii="Times New Roman" w:hAnsi="Times New Roman" w:cs="Times New Roman"/>
          <w:sz w:val="24"/>
          <w:szCs w:val="24"/>
        </w:rPr>
        <w:t>8</w:t>
      </w:r>
      <w:r w:rsidRPr="00345A42">
        <w:rPr>
          <w:rFonts w:ascii="Times New Roman" w:hAnsi="Times New Roman" w:cs="Times New Roman"/>
          <w:sz w:val="24"/>
          <w:szCs w:val="24"/>
        </w:rPr>
        <w:t xml:space="preserve"> Programu konwergencji posłuż</w:t>
      </w:r>
      <w:r w:rsidR="00EC24AC">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w:t>
      </w:r>
      <w:r w:rsidR="002765FD">
        <w:rPr>
          <w:rFonts w:ascii="Times New Roman" w:hAnsi="Times New Roman" w:cs="Times New Roman"/>
          <w:sz w:val="24"/>
          <w:szCs w:val="24"/>
        </w:rPr>
        <w:t xml:space="preserve">zmian </w:t>
      </w:r>
      <w:r w:rsidRPr="00345A42">
        <w:rPr>
          <w:rFonts w:ascii="Times New Roman" w:hAnsi="Times New Roman" w:cs="Times New Roman"/>
          <w:sz w:val="24"/>
          <w:szCs w:val="24"/>
        </w:rPr>
        <w:t>ustawy budżetowej na rok 2015.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Podstawowe założenia przyjęte do WPFP oraz Budżetu Państwa 2015 prezentuje poniższa tabela.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sidR="00D83A51">
        <w:rPr>
          <w:rFonts w:ascii="Times New Roman" w:hAnsi="Times New Roman" w:cs="Times New Roman"/>
          <w:b/>
          <w:bCs/>
          <w:sz w:val="20"/>
          <w:szCs w:val="20"/>
        </w:rPr>
        <w:t>5</w:t>
      </w:r>
      <w:r w:rsidRPr="00345A42">
        <w:rPr>
          <w:rFonts w:ascii="Times New Roman" w:hAnsi="Times New Roman" w:cs="Times New Roman"/>
          <w:b/>
          <w:bCs/>
          <w:sz w:val="20"/>
          <w:szCs w:val="20"/>
        </w:rPr>
        <w:t xml:space="preserve"> </w:t>
      </w:r>
      <w:r w:rsidR="00183CFB">
        <w:rPr>
          <w:rFonts w:ascii="Times New Roman" w:hAnsi="Times New Roman" w:cs="Times New Roman"/>
          <w:b/>
          <w:bCs/>
          <w:sz w:val="20"/>
          <w:szCs w:val="20"/>
        </w:rPr>
        <w:t>–</w:t>
      </w:r>
      <w:r w:rsidRPr="00345A42">
        <w:rPr>
          <w:rFonts w:ascii="Times New Roman" w:hAnsi="Times New Roman" w:cs="Times New Roman"/>
          <w:b/>
          <w:bCs/>
          <w:sz w:val="20"/>
          <w:szCs w:val="20"/>
        </w:rPr>
        <w:t xml:space="preserve"> 201</w:t>
      </w:r>
      <w:r w:rsidR="00D83A51">
        <w:rPr>
          <w:rFonts w:ascii="Times New Roman" w:hAnsi="Times New Roman" w:cs="Times New Roman"/>
          <w:b/>
          <w:bCs/>
          <w:sz w:val="20"/>
          <w:szCs w:val="20"/>
        </w:rPr>
        <w:t>8</w:t>
      </w:r>
    </w:p>
    <w:tbl>
      <w:tblPr>
        <w:tblStyle w:val="Tabela-Siatka"/>
        <w:tblW w:w="0" w:type="auto"/>
        <w:tblLook w:val="04A0" w:firstRow="1" w:lastRow="0" w:firstColumn="1" w:lastColumn="0" w:noHBand="0" w:noVBand="1"/>
      </w:tblPr>
      <w:tblGrid>
        <w:gridCol w:w="3510"/>
        <w:gridCol w:w="1701"/>
        <w:gridCol w:w="1560"/>
        <w:gridCol w:w="1275"/>
        <w:gridCol w:w="1166"/>
      </w:tblGrid>
      <w:tr w:rsidR="00D83A51" w:rsidTr="00D83A51">
        <w:tc>
          <w:tcPr>
            <w:tcW w:w="3510" w:type="dxa"/>
          </w:tcPr>
          <w:p w:rsidR="00D83A51" w:rsidRDefault="00D83A51"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1701" w:type="dxa"/>
          </w:tcPr>
          <w:p w:rsidR="00D83A51" w:rsidRDefault="00D83A51"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2015</w:t>
            </w:r>
          </w:p>
        </w:tc>
        <w:tc>
          <w:tcPr>
            <w:tcW w:w="1560" w:type="dxa"/>
          </w:tcPr>
          <w:p w:rsidR="00D83A51" w:rsidRDefault="00D83A51"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2016</w:t>
            </w:r>
          </w:p>
        </w:tc>
        <w:tc>
          <w:tcPr>
            <w:tcW w:w="1275" w:type="dxa"/>
          </w:tcPr>
          <w:p w:rsidR="00D83A51" w:rsidRDefault="00D83A51"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2017</w:t>
            </w:r>
          </w:p>
        </w:tc>
        <w:tc>
          <w:tcPr>
            <w:tcW w:w="1166" w:type="dxa"/>
          </w:tcPr>
          <w:p w:rsidR="00D83A51" w:rsidRDefault="00D83A51"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r>
      <w:tr w:rsidR="00D83A51" w:rsidTr="00D83A51">
        <w:tc>
          <w:tcPr>
            <w:tcW w:w="3510" w:type="dxa"/>
          </w:tcPr>
          <w:p w:rsidR="00D83A51" w:rsidRPr="00D83A51" w:rsidRDefault="00D83A51" w:rsidP="00D83A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1701" w:type="dxa"/>
          </w:tcPr>
          <w:p w:rsidR="00D83A51" w:rsidRDefault="00CB67B6"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103,4</w:t>
            </w:r>
          </w:p>
        </w:tc>
        <w:tc>
          <w:tcPr>
            <w:tcW w:w="1560" w:type="dxa"/>
          </w:tcPr>
          <w:p w:rsidR="00D83A51" w:rsidRDefault="00CB67B6"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103,8</w:t>
            </w:r>
          </w:p>
        </w:tc>
        <w:tc>
          <w:tcPr>
            <w:tcW w:w="1275" w:type="dxa"/>
          </w:tcPr>
          <w:p w:rsidR="00D83A51" w:rsidRDefault="00CB67B6"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103,9</w:t>
            </w:r>
          </w:p>
        </w:tc>
        <w:tc>
          <w:tcPr>
            <w:tcW w:w="1166" w:type="dxa"/>
          </w:tcPr>
          <w:p w:rsidR="00D83A51" w:rsidRDefault="00CB67B6"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104,0</w:t>
            </w:r>
          </w:p>
        </w:tc>
      </w:tr>
      <w:tr w:rsidR="00D83A51" w:rsidTr="00EC24AC">
        <w:tc>
          <w:tcPr>
            <w:tcW w:w="3510" w:type="dxa"/>
          </w:tcPr>
          <w:p w:rsidR="00D83A51" w:rsidRPr="00D83A51" w:rsidRDefault="00D83A51" w:rsidP="00D83A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1701" w:type="dxa"/>
          </w:tcPr>
          <w:p w:rsidR="00D83A51" w:rsidRDefault="00CB67B6"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101,8</w:t>
            </w:r>
          </w:p>
        </w:tc>
        <w:tc>
          <w:tcPr>
            <w:tcW w:w="1560" w:type="dxa"/>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101,7</w:t>
            </w:r>
          </w:p>
        </w:tc>
        <w:tc>
          <w:tcPr>
            <w:tcW w:w="1275" w:type="dxa"/>
            <w:tcBorders>
              <w:bottom w:val="single" w:sz="4" w:space="0" w:color="auto"/>
            </w:tcBorders>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101,8</w:t>
            </w:r>
          </w:p>
        </w:tc>
        <w:tc>
          <w:tcPr>
            <w:tcW w:w="1166" w:type="dxa"/>
            <w:tcBorders>
              <w:bottom w:val="single" w:sz="4" w:space="0" w:color="auto"/>
            </w:tcBorders>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102,5</w:t>
            </w:r>
          </w:p>
        </w:tc>
      </w:tr>
      <w:tr w:rsidR="00D83A51" w:rsidTr="00EC24AC">
        <w:tc>
          <w:tcPr>
            <w:tcW w:w="3510" w:type="dxa"/>
          </w:tcPr>
          <w:p w:rsidR="00D83A51" w:rsidRPr="00D83A51" w:rsidRDefault="00D83A51" w:rsidP="00D83A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1701" w:type="dxa"/>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8,2</w:t>
            </w:r>
          </w:p>
        </w:tc>
        <w:tc>
          <w:tcPr>
            <w:tcW w:w="1560" w:type="dxa"/>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7,6</w:t>
            </w:r>
          </w:p>
        </w:tc>
        <w:tc>
          <w:tcPr>
            <w:tcW w:w="1275" w:type="dxa"/>
            <w:tcBorders>
              <w:right w:val="nil"/>
            </w:tcBorders>
          </w:tcPr>
          <w:p w:rsidR="00D83A51" w:rsidRDefault="00D83A51"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p>
        </w:tc>
        <w:tc>
          <w:tcPr>
            <w:tcW w:w="1166" w:type="dxa"/>
            <w:tcBorders>
              <w:left w:val="nil"/>
            </w:tcBorders>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6,5</w:t>
            </w:r>
          </w:p>
        </w:tc>
      </w:tr>
      <w:tr w:rsidR="00D83A51" w:rsidTr="00D83A51">
        <w:tc>
          <w:tcPr>
            <w:tcW w:w="3510" w:type="dxa"/>
          </w:tcPr>
          <w:p w:rsidR="00D83A51" w:rsidRPr="00D83A51" w:rsidRDefault="00D83A51" w:rsidP="00D83A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1701" w:type="dxa"/>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3,5</w:t>
            </w:r>
          </w:p>
        </w:tc>
        <w:tc>
          <w:tcPr>
            <w:tcW w:w="1560" w:type="dxa"/>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3,6</w:t>
            </w:r>
          </w:p>
        </w:tc>
        <w:tc>
          <w:tcPr>
            <w:tcW w:w="1275" w:type="dxa"/>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3,8</w:t>
            </w:r>
          </w:p>
        </w:tc>
        <w:tc>
          <w:tcPr>
            <w:tcW w:w="1166" w:type="dxa"/>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4,6</w:t>
            </w:r>
          </w:p>
        </w:tc>
      </w:tr>
    </w:tbl>
    <w:p w:rsidR="00183CFB" w:rsidRPr="00345A42" w:rsidRDefault="002765FD" w:rsidP="002765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sz w:val="20"/>
          <w:szCs w:val="20"/>
        </w:rPr>
      </w:pPr>
      <w:r w:rsidRPr="00345A42">
        <w:rPr>
          <w:rFonts w:ascii="Times New Roman" w:hAnsi="Times New Roman" w:cs="Times New Roman"/>
          <w:sz w:val="20"/>
          <w:szCs w:val="20"/>
        </w:rPr>
        <w:t>Źródło: Wieloletni Plan Finansowy Państwa na lata 201</w:t>
      </w:r>
      <w:r>
        <w:rPr>
          <w:rFonts w:ascii="Times New Roman" w:hAnsi="Times New Roman" w:cs="Times New Roman"/>
          <w:sz w:val="20"/>
          <w:szCs w:val="20"/>
        </w:rPr>
        <w:t>5</w:t>
      </w:r>
      <w:r w:rsidRPr="00345A42">
        <w:rPr>
          <w:rFonts w:ascii="Times New Roman" w:hAnsi="Times New Roman" w:cs="Times New Roman"/>
          <w:sz w:val="20"/>
          <w:szCs w:val="20"/>
        </w:rPr>
        <w:t xml:space="preserve"> -201</w:t>
      </w:r>
      <w:r>
        <w:rPr>
          <w:rFonts w:ascii="Times New Roman" w:hAnsi="Times New Roman" w:cs="Times New Roman"/>
          <w:sz w:val="20"/>
          <w:szCs w:val="20"/>
        </w:rPr>
        <w:t>8</w:t>
      </w:r>
      <w:r w:rsidRPr="00345A42">
        <w:rPr>
          <w:rFonts w:ascii="Times New Roman" w:hAnsi="Times New Roman" w:cs="Times New Roman"/>
          <w:sz w:val="20"/>
          <w:szCs w:val="20"/>
        </w:rPr>
        <w:t>,  Program konwergencji. Aktualizacja 201</w:t>
      </w:r>
      <w:r>
        <w:rPr>
          <w:rFonts w:ascii="Times New Roman" w:hAnsi="Times New Roman" w:cs="Times New Roman"/>
          <w:sz w:val="20"/>
          <w:szCs w:val="20"/>
        </w:rPr>
        <w:t>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lastRenderedPageBreak/>
        <w:t xml:space="preserve">2.2. </w:t>
      </w:r>
      <w:r w:rsidRPr="00345A42">
        <w:rPr>
          <w:rFonts w:ascii="Arial" w:hAnsi="Arial" w:cs="Arial"/>
          <w:b/>
          <w:bCs/>
          <w:color w:val="000000"/>
          <w:sz w:val="28"/>
          <w:szCs w:val="28"/>
        </w:rPr>
        <w:t>Założenia przyjęte do prognozy dochodów budżetu gminy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1. Podatek od nieruchomości,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2. Podatek rolny,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3. Podatek leśny,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4. Podatek od środków transportowych,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5. Opłata targowa,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6. Opłata skarbowa,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7. Wpływy z opłaty za sprzedaż napojów alkoholowych,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8. Wpływy z lokalnych opłat,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color w:val="000000"/>
          <w:sz w:val="24"/>
          <w:szCs w:val="24"/>
        </w:rPr>
        <w:t>9. 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color w:val="000000"/>
          <w:sz w:val="24"/>
          <w:szCs w:val="24"/>
        </w:rPr>
        <w:t>10. Koszty upomnienia.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 xml:space="preserve">W 2015 r. założono dochody z tego tytułu </w:t>
      </w:r>
      <w:r w:rsidR="00D23232">
        <w:rPr>
          <w:rFonts w:ascii="Times New Roman" w:hAnsi="Times New Roman" w:cs="Times New Roman"/>
          <w:sz w:val="24"/>
          <w:szCs w:val="24"/>
        </w:rPr>
        <w:t>w kwocie 12.895.252 zł</w:t>
      </w:r>
      <w:r w:rsidRPr="00345A42">
        <w:rPr>
          <w:rFonts w:ascii="Times New Roman" w:hAnsi="Times New Roman" w:cs="Times New Roman"/>
          <w:sz w:val="24"/>
          <w:szCs w:val="24"/>
        </w:rPr>
        <w:t xml:space="preserve">, </w:t>
      </w:r>
      <w:r w:rsidRPr="00345A42">
        <w:rPr>
          <w:rFonts w:ascii="Times New Roman" w:hAnsi="Times New Roman" w:cs="Times New Roman"/>
          <w:color w:val="000000"/>
          <w:sz w:val="24"/>
          <w:szCs w:val="24"/>
        </w:rPr>
        <w:t>w 2016 założono ich wzrost o 4,5 % z uwagi na ostrożną politykę jaka była prowadzona w stosunku do tych podatków w latach ubiegłych. Natomiast w kolejnych latach Wieloletniej Prognozy Finansowej założono ich wzrost w przedziale 2 – 3%.</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Wzrost wpływów z tytułu podatku od nieruchomości osób prawnych o 20,96% w stosunku </w:t>
      </w:r>
      <w:r w:rsidR="00D23232">
        <w:rPr>
          <w:rFonts w:ascii="Times New Roman" w:hAnsi="Times New Roman" w:cs="Times New Roman"/>
          <w:sz w:val="24"/>
          <w:szCs w:val="24"/>
        </w:rPr>
        <w:br/>
      </w:r>
      <w:r w:rsidRPr="00345A42">
        <w:rPr>
          <w:rFonts w:ascii="Times New Roman" w:hAnsi="Times New Roman" w:cs="Times New Roman"/>
          <w:sz w:val="24"/>
          <w:szCs w:val="24"/>
        </w:rPr>
        <w:t xml:space="preserve">do planu na 2014 rok  jest następstwem uchwalonych stawek podatku przez Radę Miejską </w:t>
      </w:r>
      <w:r w:rsidR="00D23232">
        <w:rPr>
          <w:rFonts w:ascii="Times New Roman" w:hAnsi="Times New Roman" w:cs="Times New Roman"/>
          <w:sz w:val="24"/>
          <w:szCs w:val="24"/>
        </w:rPr>
        <w:br/>
      </w:r>
      <w:r w:rsidRPr="00345A42">
        <w:rPr>
          <w:rFonts w:ascii="Times New Roman" w:hAnsi="Times New Roman" w:cs="Times New Roman"/>
          <w:sz w:val="24"/>
          <w:szCs w:val="24"/>
        </w:rPr>
        <w:t xml:space="preserve">w Rogoźnie oraz założenia częściowej spłaty należności wymagalnych. Do obliczenia planowanych dochodów  z tego tytuły uwzględniono również nowo oddane budowle - elektrownie wiatrowe, przysadzenie nieruchomości osoby fizycznej na rzecz spółki oraz wniesienie nieruchomości osoby fizycznej do majątku nowo powstałej spółki i  wygaśnięcie zwolnienia z tytułu uchwały o pomocy de </w:t>
      </w:r>
      <w:proofErr w:type="spellStart"/>
      <w:r w:rsidRPr="00345A42">
        <w:rPr>
          <w:rFonts w:ascii="Times New Roman" w:hAnsi="Times New Roman" w:cs="Times New Roman"/>
          <w:sz w:val="24"/>
          <w:szCs w:val="24"/>
        </w:rPr>
        <w:t>minimis</w:t>
      </w:r>
      <w:proofErr w:type="spellEnd"/>
      <w:r w:rsidRPr="00345A42">
        <w:rPr>
          <w:rFonts w:ascii="Times New Roman" w:hAnsi="Times New Roman" w:cs="Times New Roman"/>
          <w:sz w:val="24"/>
          <w:szCs w:val="24"/>
        </w:rPr>
        <w: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przypadku podatku od nieruchomości osób fizycznych na rok 2015 zaplanowano wzrost o 2,85% wykonanych dochodów roku 2014. Obliczenia podatku dokonano </w:t>
      </w:r>
      <w:r w:rsidRPr="00345A42">
        <w:rPr>
          <w:rFonts w:ascii="Times New Roman" w:hAnsi="Times New Roman" w:cs="Times New Roman"/>
          <w:sz w:val="24"/>
          <w:szCs w:val="24"/>
        </w:rPr>
        <w:br/>
        <w:t xml:space="preserve">na podstawie uchwalonych stawek na 2015 rok.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Wzrost podatku od nieruchomości zarówno od osób prawnych jak i fizycznych </w:t>
      </w:r>
      <w:r w:rsidRPr="00345A42">
        <w:rPr>
          <w:rFonts w:ascii="Times New Roman" w:hAnsi="Times New Roman" w:cs="Times New Roman"/>
          <w:sz w:val="24"/>
          <w:szCs w:val="24"/>
        </w:rPr>
        <w:br/>
        <w:t xml:space="preserve">w Wieloletniej Prognozie Finansowej na lata 2016-2025 został założony w 2016 roku wzrost o 8% (bez uwzględnienia spłaty należności z lat poprzednich) w następnych latach od 2% </w:t>
      </w:r>
      <w:r w:rsidRPr="00345A42">
        <w:rPr>
          <w:rFonts w:ascii="Times New Roman" w:hAnsi="Times New Roman" w:cs="Times New Roman"/>
          <w:sz w:val="24"/>
          <w:szCs w:val="24"/>
        </w:rPr>
        <w:br/>
        <w:t>do 3%.</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sidR="009815D1">
        <w:rPr>
          <w:rFonts w:ascii="Times New Roman" w:hAnsi="Times New Roman" w:cs="Times New Roman"/>
          <w:sz w:val="24"/>
          <w:szCs w:val="24"/>
        </w:rPr>
        <w:t>atków i opłat lokalnych stanowi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wykonanie w budżecie 2014 r. Zanotowano nieznaczny spadek dochodów z tytułu podatku leśnego w przypadku osób prawnych, natomiast rekompensuje go wzrost podatku leśnego od osób fizycznych, który kształtuje się na poziomie 8% . Na dochodach  z tytułu podatku od środków transportu planuje się wzrost zarówno w osobach prawnych jak </w:t>
      </w:r>
      <w:r w:rsidRPr="00345A42">
        <w:rPr>
          <w:rFonts w:ascii="Times New Roman" w:hAnsi="Times New Roman" w:cs="Times New Roman"/>
          <w:sz w:val="24"/>
          <w:szCs w:val="24"/>
        </w:rPr>
        <w:br/>
        <w:t>i fizycznych o następujące wielkości.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- 23,87%</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4,83%</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uchwalonych stawek na 2015 rok.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Dochody z tytułu opłaty targowej w 2015 roku zaplanowano wyższe o 28,21% w stosunku </w:t>
      </w:r>
      <w:r w:rsidRPr="00345A42">
        <w:rPr>
          <w:rFonts w:ascii="Times New Roman" w:hAnsi="Times New Roman" w:cs="Times New Roman"/>
          <w:sz w:val="24"/>
          <w:szCs w:val="24"/>
        </w:rPr>
        <w:br/>
        <w:t xml:space="preserve">do planu z 2014 roku. Wzrost jak najbardziej zasadny. We wrześniu 2014 roku oddano </w:t>
      </w:r>
      <w:r w:rsidRPr="00345A42">
        <w:rPr>
          <w:rFonts w:ascii="Times New Roman" w:hAnsi="Times New Roman" w:cs="Times New Roman"/>
          <w:sz w:val="24"/>
          <w:szCs w:val="24"/>
        </w:rPr>
        <w:br/>
        <w:t>do użytkowania nowo powstałe targowisko miejskie „Mój rynek”, które poprzez sprzyjającą bazę dla handlujących przyczyniło się do znacznego wzrostu dochodów z tego tytułu.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i przewidywanego wykonania na koniec roku zaplanowano na niezmienionym poziomie tj. 47.000 zł</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kolejnych latach założono, iż dochody z w/w tytułów będą średnio wzrastać o wskaźnik ok. 3%.</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iż kwota 7.796.025 zł którą zaplanowano w budżecie 2015 roku jest wyższa o 8,33% w stosunku do wykonania 2014 roku.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2016 r. 2,5% w stosunku do 2015 roku, natomiast w 2017 i 2018 r. 4% w stosunku do roku poprzedniego.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2014 zaplanowano na poziomie 1.450.000 zł (</w:t>
      </w:r>
      <w:proofErr w:type="spellStart"/>
      <w:r w:rsidRPr="00345A42">
        <w:rPr>
          <w:rFonts w:ascii="Times New Roman" w:hAnsi="Times New Roman" w:cs="Times New Roman"/>
          <w:sz w:val="24"/>
          <w:szCs w:val="24"/>
        </w:rPr>
        <w:t>tj</w:t>
      </w:r>
      <w:proofErr w:type="spellEnd"/>
      <w:r w:rsidRPr="00345A42">
        <w:rPr>
          <w:rFonts w:ascii="Times New Roman" w:hAnsi="Times New Roman" w:cs="Times New Roman"/>
          <w:sz w:val="24"/>
          <w:szCs w:val="24"/>
        </w:rPr>
        <w:t xml:space="preserve"> wzrost o 45%). Dochody przekazywane przez Urzędy Skarbowe.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następnych latach wpływy w podatku dochodowym od osób prawnych będą kształtowały się w następujący sposób: </w:t>
      </w:r>
      <w:r w:rsidRPr="00345A42">
        <w:rPr>
          <w:rFonts w:ascii="Times New Roman" w:hAnsi="Times New Roman" w:cs="Times New Roman"/>
          <w:color w:val="000000"/>
          <w:sz w:val="24"/>
          <w:szCs w:val="24"/>
        </w:rPr>
        <w:t>w 2016 r.  na poziomie wykonania 2014 roku</w:t>
      </w:r>
      <w:r w:rsidR="002858C2">
        <w:rPr>
          <w:rFonts w:ascii="Times New Roman" w:hAnsi="Times New Roman" w:cs="Times New Roman"/>
          <w:color w:val="000000"/>
          <w:sz w:val="24"/>
          <w:szCs w:val="24"/>
        </w:rPr>
        <w:t xml:space="preserve"> powiększony </w:t>
      </w:r>
      <w:r w:rsidR="002858C2">
        <w:rPr>
          <w:rFonts w:ascii="Times New Roman" w:hAnsi="Times New Roman" w:cs="Times New Roman"/>
          <w:color w:val="000000"/>
          <w:sz w:val="24"/>
          <w:szCs w:val="24"/>
        </w:rPr>
        <w:br/>
        <w:t>o wskaźnik 3%</w:t>
      </w:r>
      <w:r w:rsidRPr="00345A42">
        <w:rPr>
          <w:rFonts w:ascii="Times New Roman" w:hAnsi="Times New Roman" w:cs="Times New Roman"/>
          <w:color w:val="000000"/>
          <w:sz w:val="24"/>
          <w:szCs w:val="24"/>
        </w:rPr>
        <w:t>, natomiast w 2017</w:t>
      </w:r>
      <w:r w:rsidR="002858C2">
        <w:rPr>
          <w:rFonts w:ascii="Times New Roman" w:hAnsi="Times New Roman" w:cs="Times New Roman"/>
          <w:color w:val="000000"/>
          <w:sz w:val="24"/>
          <w:szCs w:val="24"/>
        </w:rPr>
        <w:t xml:space="preserve"> o 2,4%</w:t>
      </w:r>
      <w:r w:rsidRPr="00345A42">
        <w:rPr>
          <w:rFonts w:ascii="Times New Roman" w:hAnsi="Times New Roman" w:cs="Times New Roman"/>
          <w:color w:val="000000"/>
          <w:sz w:val="24"/>
          <w:szCs w:val="24"/>
        </w:rPr>
        <w:t xml:space="preserve"> i 2018 r. o </w:t>
      </w:r>
      <w:r w:rsidR="002858C2">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roku poprzedniego.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 2015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2014 roku.</w:t>
      </w:r>
      <w:r w:rsidRPr="00345A42">
        <w:rPr>
          <w:rFonts w:ascii="Times New Roman" w:hAnsi="Times New Roman" w:cs="Times New Roman"/>
          <w:color w:val="000000"/>
          <w:sz w:val="24"/>
          <w:szCs w:val="24"/>
        </w:rPr>
        <w:t xml:space="preserve"> Nieznaczny wzrost o 8,57% w przypadku osób fizycznych i drastyczny spadek o 40% dla osób prawnych.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zaplanowano w tej grupie nieznaczny wzrost w granicach 3%.</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165.000 zł w 2015 r., co stanowi wzrost </w:t>
      </w:r>
      <w:r w:rsidRPr="00345A42">
        <w:rPr>
          <w:rFonts w:ascii="Times New Roman" w:hAnsi="Times New Roman" w:cs="Times New Roman"/>
          <w:sz w:val="24"/>
          <w:szCs w:val="24"/>
        </w:rPr>
        <w:br/>
        <w:t xml:space="preserve">o około 147,65% w stosunku do 2014 roku. Dochody te oszacowano na podstawie wykonania za 2014 roku z uwzględnieniem należności wymagalnych, które wynosiły 11.065,38 zł. </w:t>
      </w:r>
      <w:r w:rsidRPr="00345A42">
        <w:rPr>
          <w:rFonts w:ascii="Times New Roman" w:hAnsi="Times New Roman" w:cs="Times New Roman"/>
          <w:sz w:val="24"/>
          <w:szCs w:val="24"/>
        </w:rPr>
        <w:br/>
        <w:t xml:space="preserve">W latach 2016 – 2018 założono wzrost o 3%.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Historyczna analiza kształtowania się dochodów z tego tytułu wykazuje ogromne zróżnicowanie wpływów w poprzednich latach , której nie da się przewidzieć ze względu na specyfikę tego podatku, która nie jest od nas zależna.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2015 r. założono  realizację dochodów z tego tytułu na poziomie 49.000 zł tj. o 16,67% wyższym niż w 2014 roku. Wzrost ten podyktowany jest uwzględnieniem wykonania 2014 roku.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Dla kolejnych lat 2016 – 2018  przyjęto 3% wskaźnik wzrostu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poziomu subwencji ogólnej jest przyjęty plan na 2015 r. podany przez dysponenta -  Ministerstwo Finansów.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2015 r. przyjęto ostateczną kwotę z podziału dla subwencji oświatowej, która jest niższa </w:t>
      </w:r>
      <w:r w:rsidRPr="00345A42">
        <w:rPr>
          <w:rFonts w:ascii="Times New Roman" w:hAnsi="Times New Roman" w:cs="Times New Roman"/>
          <w:sz w:val="24"/>
          <w:szCs w:val="24"/>
        </w:rPr>
        <w:br/>
        <w:t xml:space="preserve">o 118.856 zł w porównaniu do pierwotnie otrzymanej informacji z MF natomiast subwencja wyrównawcza wzrosła o 4,61% w stosunku do 2014 roku.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2,5% wzrost.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2016-2025 z uwzględnieniem ok. 2,5% wzrostu</w:t>
      </w:r>
      <w:r w:rsidR="00A66F54">
        <w:rPr>
          <w:rFonts w:ascii="Times New Roman" w:hAnsi="Times New Roman" w:cs="Times New Roman"/>
          <w:sz w:val="24"/>
          <w:szCs w:val="24"/>
        </w:rPr>
        <w:t xml:space="preserve"> przed dokonywanymi zmianami w trakcie roku budżetowego 2015</w:t>
      </w:r>
      <w:r w:rsidRPr="00345A42">
        <w:rPr>
          <w:rFonts w:ascii="Times New Roman" w:hAnsi="Times New Roman" w:cs="Times New Roman"/>
          <w:sz w:val="24"/>
          <w:szCs w:val="24"/>
        </w:rPr>
        <w:t xml:space="preserve">.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na zadania z zakresu administracji rządowej i dotacji na realizację zadań własnych na 2015 rok </w:t>
      </w:r>
      <w:r w:rsidRPr="00345A42">
        <w:rPr>
          <w:rFonts w:ascii="Times New Roman" w:hAnsi="Times New Roman" w:cs="Times New Roman"/>
          <w:sz w:val="24"/>
          <w:szCs w:val="24"/>
        </w:rPr>
        <w:lastRenderedPageBreak/>
        <w:t xml:space="preserve">oraz prognozowane na 2015 rok udziały w dochodach związanych z realizacją zadań </w:t>
      </w:r>
      <w:r w:rsidRPr="00345A42">
        <w:rPr>
          <w:rFonts w:ascii="Times New Roman" w:hAnsi="Times New Roman" w:cs="Times New Roman"/>
          <w:sz w:val="24"/>
          <w:szCs w:val="24"/>
        </w:rPr>
        <w:br/>
        <w:t xml:space="preserve">z zakresu administracji rządowej.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2014 roku.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2015 planowane dochody </w:t>
      </w:r>
      <w:r w:rsidRPr="00345A42">
        <w:rPr>
          <w:rFonts w:ascii="Times New Roman" w:hAnsi="Times New Roman" w:cs="Times New Roman"/>
          <w:sz w:val="24"/>
          <w:szCs w:val="24"/>
        </w:rPr>
        <w:br/>
        <w:t>ze sprzedaży mienia to 1.500.000 zł, w 2016 i 2017 kwota 1.000.000 zł.</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Poprawa koniunktury na rynku nieruchomości,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Utrzymanie minimalnego poziomu cen gruntów przeznaczonych pod zabudowę na poziomie 30-40 zł/netto/m2,</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3) Sprzedaż mienia wg wykazu: </w:t>
      </w:r>
    </w:p>
    <w:tbl>
      <w:tblPr>
        <w:tblW w:w="0" w:type="auto"/>
        <w:tblInd w:w="70" w:type="dxa"/>
        <w:tblLayout w:type="fixed"/>
        <w:tblCellMar>
          <w:left w:w="70" w:type="dxa"/>
          <w:right w:w="70" w:type="dxa"/>
        </w:tblCellMar>
        <w:tblLook w:val="0000" w:firstRow="0" w:lastRow="0" w:firstColumn="0" w:lastColumn="0" w:noHBand="0" w:noVBand="0"/>
      </w:tblPr>
      <w:tblGrid>
        <w:gridCol w:w="960"/>
        <w:gridCol w:w="5718"/>
        <w:gridCol w:w="2551"/>
      </w:tblGrid>
      <w:tr w:rsidR="00345A42" w:rsidRPr="00345A42" w:rsidTr="003E5A8D">
        <w:trPr>
          <w:trHeight w:val="454"/>
          <w:tblHeader/>
        </w:trPr>
        <w:tc>
          <w:tcPr>
            <w:tcW w:w="960" w:type="dxa"/>
            <w:tcBorders>
              <w:top w:val="single" w:sz="8" w:space="0" w:color="000000"/>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345A42">
              <w:rPr>
                <w:rFonts w:ascii="Times New Roman" w:hAnsi="Times New Roman" w:cs="Times New Roman"/>
                <w:b/>
                <w:bCs/>
                <w:color w:val="000000"/>
              </w:rPr>
              <w:t>LP</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345A42">
              <w:rPr>
                <w:rFonts w:ascii="Times New Roman" w:hAnsi="Times New Roman" w:cs="Times New Roman"/>
                <w:b/>
                <w:bCs/>
                <w:color w:val="000000"/>
              </w:rPr>
              <w:t>Przedmiot zbycia</w:t>
            </w:r>
          </w:p>
        </w:tc>
        <w:tc>
          <w:tcPr>
            <w:tcW w:w="2551"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345A42">
              <w:rPr>
                <w:rFonts w:ascii="Times New Roman" w:hAnsi="Times New Roman" w:cs="Times New Roman"/>
                <w:b/>
                <w:bCs/>
                <w:color w:val="000000"/>
              </w:rPr>
              <w:t>Cena wywoławcza netto</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 nr: 286/1 o pow.821m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 Jaracz, gm. Rogoźno</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30 000,00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2</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286/2 o pow.830m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 xml:space="preserve"> Jaracz, gm. Rogoźno</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30 000,00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3</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 2413/6 o pow.2.364m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42 500,00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4</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kompleks 8 działek u zbiegu Szerokiej i Południowej</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400 000,00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5</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Działka nr 284/2 o pow. 1,0646ha</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124 000,00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6</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Działka 62/7 o pow.348m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 Jaracz</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15 000,00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7</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 xml:space="preserve">działki nr 28 i 28/2 położone w </w:t>
            </w:r>
            <w:proofErr w:type="spellStart"/>
            <w:r w:rsidRPr="00345A42">
              <w:rPr>
                <w:rFonts w:ascii="Times New Roman" w:hAnsi="Times New Roman" w:cs="Times New Roman"/>
                <w:color w:val="000000"/>
                <w:sz w:val="20"/>
                <w:szCs w:val="20"/>
              </w:rPr>
              <w:t>Laskowie</w:t>
            </w:r>
            <w:proofErr w:type="spellEnd"/>
            <w:r w:rsidRPr="00345A42">
              <w:rPr>
                <w:rFonts w:ascii="Times New Roman" w:hAnsi="Times New Roman" w:cs="Times New Roman"/>
                <w:color w:val="000000"/>
                <w:sz w:val="20"/>
                <w:szCs w:val="20"/>
              </w:rPr>
              <w:t xml:space="preserve"> pow. 0,97ha</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70 000,00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8</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Działka 74/2, 2,20ha, Boguniewo</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150 000,00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9</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Działka 63/1 o pow.4.512m</w:t>
            </w:r>
            <w:r w:rsidRPr="00345A42">
              <w:rPr>
                <w:rFonts w:ascii="Times New Roman" w:hAnsi="Times New Roman" w:cs="Times New Roman"/>
                <w:color w:val="000000"/>
                <w:position w:val="5"/>
                <w:sz w:val="20"/>
                <w:szCs w:val="20"/>
              </w:rPr>
              <w:t xml:space="preserve">2, </w:t>
            </w:r>
            <w:r w:rsidRPr="00345A42">
              <w:rPr>
                <w:rFonts w:ascii="Times New Roman" w:hAnsi="Times New Roman" w:cs="Times New Roman"/>
                <w:color w:val="000000"/>
                <w:sz w:val="20"/>
                <w:szCs w:val="20"/>
              </w:rPr>
              <w:t>Jaracz</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95 000,00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10</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Działka 63/3 o pow.1.843m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 Jaracz</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50 000,00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11</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Kompleks 18 działek na ulicy Skrajnej i Łamanej</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595 500,00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12 </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Minimalne postąpienie przetargowe</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16 020,00 zł</w:t>
            </w:r>
          </w:p>
        </w:tc>
      </w:tr>
      <w:tr w:rsidR="00345A42" w:rsidRPr="00345A42">
        <w:trPr>
          <w:trHeight w:val="454"/>
        </w:trPr>
        <w:tc>
          <w:tcPr>
            <w:tcW w:w="6678" w:type="dxa"/>
            <w:gridSpan w:val="2"/>
            <w:tcBorders>
              <w:top w:val="single" w:sz="8" w:space="0" w:color="000000"/>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sz w:val="20"/>
                <w:szCs w:val="20"/>
              </w:rPr>
            </w:pPr>
            <w:r w:rsidRPr="00345A42">
              <w:rPr>
                <w:rFonts w:ascii="Times New Roman" w:hAnsi="Times New Roman" w:cs="Times New Roman"/>
                <w:b/>
                <w:bCs/>
                <w:color w:val="000000"/>
                <w:sz w:val="20"/>
                <w:szCs w:val="20"/>
              </w:rPr>
              <w:t>SUMA</w:t>
            </w:r>
          </w:p>
        </w:tc>
        <w:tc>
          <w:tcPr>
            <w:tcW w:w="2551"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sz w:val="20"/>
                <w:szCs w:val="20"/>
              </w:rPr>
            </w:pPr>
            <w:r w:rsidRPr="00345A42">
              <w:rPr>
                <w:rFonts w:ascii="Times New Roman" w:hAnsi="Times New Roman" w:cs="Times New Roman"/>
                <w:b/>
                <w:bCs/>
                <w:color w:val="000000"/>
                <w:sz w:val="20"/>
                <w:szCs w:val="20"/>
              </w:rPr>
              <w:t>1 618 020,00zł</w:t>
            </w:r>
          </w:p>
        </w:tc>
      </w:tr>
    </w:tbl>
    <w:p w:rsid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A66F54" w:rsidRPr="00345A42" w:rsidRDefault="00A66F54"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lastRenderedPageBreak/>
        <w:t>DOCHODY MAJĄTKOWE Z TYTUŁU DOTACJI I ŚRODKÓW POZYSKANYCH NA INWESTYCJE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sz w:val="24"/>
          <w:szCs w:val="24"/>
        </w:rPr>
        <w:t>W 2015 roku planowane dochody dotyczą otrzymanej refundacji za poniesione nakłady - wydatki w 2014 roku za zrealizowane projekty - zadania z Programu Rozwoju Obszarów Wiejs</w:t>
      </w:r>
      <w:r w:rsidR="00CE0572">
        <w:rPr>
          <w:rFonts w:ascii="Times New Roman" w:hAnsi="Times New Roman" w:cs="Times New Roman"/>
          <w:sz w:val="24"/>
          <w:szCs w:val="24"/>
        </w:rPr>
        <w:t>k</w:t>
      </w:r>
      <w:r w:rsidRPr="00345A42">
        <w:rPr>
          <w:rFonts w:ascii="Times New Roman" w:hAnsi="Times New Roman" w:cs="Times New Roman"/>
          <w:sz w:val="24"/>
          <w:szCs w:val="24"/>
        </w:rPr>
        <w:t>ich na lata 2007-2013 w ramach, których wykonano modernizację i zagospodarowanie terenu wokół sześciu świetlic wiejskich. Wartość refundac</w:t>
      </w:r>
      <w:r w:rsidR="00CE0572">
        <w:rPr>
          <w:rFonts w:ascii="Times New Roman" w:hAnsi="Times New Roman" w:cs="Times New Roman"/>
          <w:sz w:val="24"/>
          <w:szCs w:val="24"/>
        </w:rPr>
        <w:t>j</w:t>
      </w:r>
      <w:r w:rsidRPr="00345A42">
        <w:rPr>
          <w:rFonts w:ascii="Times New Roman" w:hAnsi="Times New Roman" w:cs="Times New Roman"/>
          <w:sz w:val="24"/>
          <w:szCs w:val="24"/>
        </w:rPr>
        <w:t xml:space="preserve">i wynosi </w:t>
      </w:r>
      <w:r w:rsidR="004864B5">
        <w:rPr>
          <w:rFonts w:ascii="Times New Roman" w:hAnsi="Times New Roman" w:cs="Times New Roman"/>
          <w:sz w:val="24"/>
          <w:szCs w:val="24"/>
        </w:rPr>
        <w:t>768</w:t>
      </w:r>
      <w:r w:rsidRPr="00345A42">
        <w:rPr>
          <w:rFonts w:ascii="Times New Roman" w:hAnsi="Times New Roman" w:cs="Times New Roman"/>
          <w:sz w:val="24"/>
          <w:szCs w:val="24"/>
        </w:rPr>
        <w:t>.</w:t>
      </w:r>
      <w:r w:rsidR="004864B5">
        <w:rPr>
          <w:rFonts w:ascii="Times New Roman" w:hAnsi="Times New Roman" w:cs="Times New Roman"/>
          <w:sz w:val="24"/>
          <w:szCs w:val="24"/>
        </w:rPr>
        <w:t>479</w:t>
      </w:r>
      <w:r w:rsidRPr="00345A42">
        <w:rPr>
          <w:rFonts w:ascii="Times New Roman" w:hAnsi="Times New Roman" w:cs="Times New Roman"/>
          <w:sz w:val="24"/>
          <w:szCs w:val="24"/>
        </w:rPr>
        <w:t>,</w:t>
      </w:r>
      <w:r w:rsidR="004864B5">
        <w:rPr>
          <w:rFonts w:ascii="Times New Roman" w:hAnsi="Times New Roman" w:cs="Times New Roman"/>
          <w:sz w:val="24"/>
          <w:szCs w:val="24"/>
        </w:rPr>
        <w:t>08</w:t>
      </w:r>
      <w:r w:rsidRPr="00345A42">
        <w:rPr>
          <w:rFonts w:ascii="Times New Roman" w:hAnsi="Times New Roman" w:cs="Times New Roman"/>
          <w:sz w:val="24"/>
          <w:szCs w:val="24"/>
        </w:rPr>
        <w:t xml:space="preserve"> zł.</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Prognoza wydatków w kolejnych latach oparta została na wykonaniu wydatków bieżących w 2014r,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sidR="00A66F54">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Całość wydatków ponoszonych z budżetu na wynagrodzenia i pochodne od wynagrodzeń po zmianach to kwota 20.3</w:t>
      </w:r>
      <w:r w:rsidR="00C11F01">
        <w:rPr>
          <w:rFonts w:ascii="Times New Roman" w:hAnsi="Times New Roman" w:cs="Times New Roman"/>
          <w:sz w:val="24"/>
          <w:szCs w:val="24"/>
        </w:rPr>
        <w:t>50</w:t>
      </w:r>
      <w:r w:rsidR="004944D4">
        <w:rPr>
          <w:rFonts w:ascii="Times New Roman" w:hAnsi="Times New Roman" w:cs="Times New Roman"/>
          <w:sz w:val="24"/>
          <w:szCs w:val="24"/>
        </w:rPr>
        <w:t>.</w:t>
      </w:r>
      <w:r w:rsidR="00C11F01">
        <w:rPr>
          <w:rFonts w:ascii="Times New Roman" w:hAnsi="Times New Roman" w:cs="Times New Roman"/>
          <w:sz w:val="24"/>
          <w:szCs w:val="24"/>
        </w:rPr>
        <w:t>74</w:t>
      </w:r>
      <w:r w:rsidR="004944D4">
        <w:rPr>
          <w:rFonts w:ascii="Times New Roman" w:hAnsi="Times New Roman" w:cs="Times New Roman"/>
          <w:sz w:val="24"/>
          <w:szCs w:val="24"/>
        </w:rPr>
        <w:t>1</w:t>
      </w:r>
      <w:r w:rsidRPr="00345A42">
        <w:rPr>
          <w:rFonts w:ascii="Times New Roman" w:hAnsi="Times New Roman" w:cs="Times New Roman"/>
          <w:sz w:val="24"/>
          <w:szCs w:val="24"/>
        </w:rPr>
        <w:t>,</w:t>
      </w:r>
      <w:r w:rsidR="00A66F54">
        <w:rPr>
          <w:rFonts w:ascii="Times New Roman" w:hAnsi="Times New Roman" w:cs="Times New Roman"/>
          <w:sz w:val="24"/>
          <w:szCs w:val="24"/>
        </w:rPr>
        <w:t>20</w:t>
      </w:r>
      <w:r w:rsidRPr="00345A42">
        <w:rPr>
          <w:rFonts w:ascii="Times New Roman" w:hAnsi="Times New Roman" w:cs="Times New Roman"/>
          <w:sz w:val="24"/>
          <w:szCs w:val="24"/>
        </w:rPr>
        <w:t xml:space="preserve"> zł w 2015 r. z tego: </w:t>
      </w:r>
    </w:p>
    <w:p w:rsidR="00345A42" w:rsidRPr="00345A42" w:rsidRDefault="00345A42" w:rsidP="00345A4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Oświata – 15.26</w:t>
      </w:r>
      <w:r w:rsidR="00E23514">
        <w:rPr>
          <w:rFonts w:ascii="Times New Roman" w:hAnsi="Times New Roman" w:cs="Times New Roman"/>
          <w:sz w:val="24"/>
          <w:szCs w:val="24"/>
        </w:rPr>
        <w:t>4</w:t>
      </w:r>
      <w:r w:rsidRPr="00345A42">
        <w:rPr>
          <w:rFonts w:ascii="Times New Roman" w:hAnsi="Times New Roman" w:cs="Times New Roman"/>
          <w:sz w:val="24"/>
          <w:szCs w:val="24"/>
        </w:rPr>
        <w:t>.</w:t>
      </w:r>
      <w:r w:rsidR="00E23514">
        <w:rPr>
          <w:rFonts w:ascii="Times New Roman" w:hAnsi="Times New Roman" w:cs="Times New Roman"/>
          <w:sz w:val="24"/>
          <w:szCs w:val="24"/>
        </w:rPr>
        <w:t>153</w:t>
      </w:r>
      <w:r w:rsidRPr="00345A42">
        <w:rPr>
          <w:rFonts w:ascii="Times New Roman" w:hAnsi="Times New Roman" w:cs="Times New Roman"/>
          <w:sz w:val="24"/>
          <w:szCs w:val="24"/>
        </w:rPr>
        <w:t xml:space="preserve"> zł tj. </w:t>
      </w:r>
      <w:r w:rsidR="00484FFF">
        <w:rPr>
          <w:rFonts w:ascii="Times New Roman" w:hAnsi="Times New Roman" w:cs="Times New Roman"/>
          <w:sz w:val="24"/>
          <w:szCs w:val="24"/>
        </w:rPr>
        <w:t>75,01</w:t>
      </w:r>
      <w:r w:rsidRPr="00345A42">
        <w:rPr>
          <w:rFonts w:ascii="Times New Roman" w:hAnsi="Times New Roman" w:cs="Times New Roman"/>
          <w:sz w:val="24"/>
          <w:szCs w:val="24"/>
        </w:rPr>
        <w:t>%,</w:t>
      </w:r>
    </w:p>
    <w:p w:rsidR="00345A42" w:rsidRPr="00345A42" w:rsidRDefault="00345A42" w:rsidP="00345A4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GOPS – 1.4</w:t>
      </w:r>
      <w:r w:rsidR="004944D4">
        <w:rPr>
          <w:rFonts w:ascii="Times New Roman" w:hAnsi="Times New Roman" w:cs="Times New Roman"/>
          <w:sz w:val="24"/>
          <w:szCs w:val="24"/>
        </w:rPr>
        <w:t>6</w:t>
      </w:r>
      <w:r w:rsidRPr="00345A42">
        <w:rPr>
          <w:rFonts w:ascii="Times New Roman" w:hAnsi="Times New Roman" w:cs="Times New Roman"/>
          <w:sz w:val="24"/>
          <w:szCs w:val="24"/>
        </w:rPr>
        <w:t>4.203 zł tj. 7,</w:t>
      </w:r>
      <w:r w:rsidR="00484FFF">
        <w:rPr>
          <w:rFonts w:ascii="Times New Roman" w:hAnsi="Times New Roman" w:cs="Times New Roman"/>
          <w:sz w:val="24"/>
          <w:szCs w:val="24"/>
        </w:rPr>
        <w:t>19</w:t>
      </w:r>
      <w:r w:rsidRPr="00345A42">
        <w:rPr>
          <w:rFonts w:ascii="Times New Roman" w:hAnsi="Times New Roman" w:cs="Times New Roman"/>
          <w:sz w:val="24"/>
          <w:szCs w:val="24"/>
        </w:rPr>
        <w:t>%,</w:t>
      </w:r>
    </w:p>
    <w:p w:rsidR="00E23514" w:rsidRDefault="00345A42" w:rsidP="00345A4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 – 3.3</w:t>
      </w:r>
      <w:r w:rsidR="00484FFF">
        <w:rPr>
          <w:rFonts w:ascii="Times New Roman" w:hAnsi="Times New Roman" w:cs="Times New Roman"/>
          <w:sz w:val="24"/>
          <w:szCs w:val="24"/>
        </w:rPr>
        <w:t>1</w:t>
      </w:r>
      <w:r w:rsidR="00C11F01">
        <w:rPr>
          <w:rFonts w:ascii="Times New Roman" w:hAnsi="Times New Roman" w:cs="Times New Roman"/>
          <w:sz w:val="24"/>
          <w:szCs w:val="24"/>
        </w:rPr>
        <w:t>5</w:t>
      </w:r>
      <w:r w:rsidRPr="00E23514">
        <w:rPr>
          <w:rFonts w:ascii="Times New Roman" w:hAnsi="Times New Roman" w:cs="Times New Roman"/>
          <w:sz w:val="24"/>
          <w:szCs w:val="24"/>
        </w:rPr>
        <w:t>.</w:t>
      </w:r>
      <w:r w:rsidR="00C11F01">
        <w:rPr>
          <w:rFonts w:ascii="Times New Roman" w:hAnsi="Times New Roman" w:cs="Times New Roman"/>
          <w:sz w:val="24"/>
          <w:szCs w:val="24"/>
        </w:rPr>
        <w:t>567</w:t>
      </w:r>
      <w:r w:rsidRPr="00E23514">
        <w:rPr>
          <w:rFonts w:ascii="Times New Roman" w:hAnsi="Times New Roman" w:cs="Times New Roman"/>
          <w:sz w:val="24"/>
          <w:szCs w:val="24"/>
        </w:rPr>
        <w:t>,16 zł tj. 16,</w:t>
      </w:r>
      <w:r w:rsidR="00484FFF">
        <w:rPr>
          <w:rFonts w:ascii="Times New Roman" w:hAnsi="Times New Roman" w:cs="Times New Roman"/>
          <w:sz w:val="24"/>
          <w:szCs w:val="24"/>
        </w:rPr>
        <w:t>29</w:t>
      </w:r>
      <w:r w:rsidRPr="00E23514">
        <w:rPr>
          <w:rFonts w:ascii="Times New Roman" w:hAnsi="Times New Roman" w:cs="Times New Roman"/>
          <w:sz w:val="24"/>
          <w:szCs w:val="24"/>
        </w:rPr>
        <w:t>%,</w:t>
      </w:r>
    </w:p>
    <w:p w:rsidR="00345A42" w:rsidRPr="00E23514" w:rsidRDefault="00345A42" w:rsidP="00345A4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 30</w:t>
      </w:r>
      <w:r w:rsidR="00E23514" w:rsidRPr="00E23514">
        <w:rPr>
          <w:rFonts w:ascii="Times New Roman" w:hAnsi="Times New Roman" w:cs="Times New Roman"/>
          <w:sz w:val="24"/>
          <w:szCs w:val="24"/>
        </w:rPr>
        <w:t>6</w:t>
      </w:r>
      <w:r w:rsidRPr="00E23514">
        <w:rPr>
          <w:rFonts w:ascii="Times New Roman" w:hAnsi="Times New Roman" w:cs="Times New Roman"/>
          <w:sz w:val="24"/>
          <w:szCs w:val="24"/>
        </w:rPr>
        <w:t>.</w:t>
      </w:r>
      <w:r w:rsidR="00484FFF">
        <w:rPr>
          <w:rFonts w:ascii="Times New Roman" w:hAnsi="Times New Roman" w:cs="Times New Roman"/>
          <w:sz w:val="24"/>
          <w:szCs w:val="24"/>
        </w:rPr>
        <w:t>8</w:t>
      </w:r>
      <w:r w:rsidR="00E23514" w:rsidRPr="00E23514">
        <w:rPr>
          <w:rFonts w:ascii="Times New Roman" w:hAnsi="Times New Roman" w:cs="Times New Roman"/>
          <w:sz w:val="24"/>
          <w:szCs w:val="24"/>
        </w:rPr>
        <w:t>18,04</w:t>
      </w:r>
      <w:r w:rsidRPr="00E23514">
        <w:rPr>
          <w:rFonts w:ascii="Times New Roman" w:hAnsi="Times New Roman" w:cs="Times New Roman"/>
          <w:sz w:val="24"/>
          <w:szCs w:val="24"/>
        </w:rPr>
        <w:t xml:space="preserve"> zł tj. 1,</w:t>
      </w:r>
      <w:r w:rsidR="00EC24AC">
        <w:rPr>
          <w:rFonts w:ascii="Times New Roman" w:hAnsi="Times New Roman" w:cs="Times New Roman"/>
          <w:sz w:val="24"/>
          <w:szCs w:val="24"/>
        </w:rPr>
        <w:t>5</w:t>
      </w:r>
      <w:r w:rsidR="00484FFF">
        <w:rPr>
          <w:rFonts w:ascii="Times New Roman" w:hAnsi="Times New Roman" w:cs="Times New Roman"/>
          <w:sz w:val="24"/>
          <w:szCs w:val="24"/>
        </w:rPr>
        <w:t>1</w:t>
      </w:r>
      <w:r w:rsidRPr="00E23514">
        <w:rPr>
          <w:rFonts w:ascii="Times New Roman" w:hAnsi="Times New Roman" w:cs="Times New Roman"/>
          <w:sz w:val="24"/>
          <w:szCs w:val="24"/>
        </w:rPr>
        <w: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 xml:space="preserve">W 2015 roku zaplanowano 3% wzrost wynagrodzeń dla pracowników administracji </w:t>
      </w:r>
      <w:r w:rsidRPr="00345A42">
        <w:rPr>
          <w:rFonts w:ascii="Times New Roman" w:hAnsi="Times New Roman" w:cs="Times New Roman"/>
          <w:color w:val="000000"/>
          <w:sz w:val="24"/>
          <w:szCs w:val="24"/>
        </w:rPr>
        <w:br/>
        <w:t>i obsługi.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rPr>
      </w:pPr>
      <w:r w:rsidRPr="00345A42">
        <w:rPr>
          <w:rFonts w:ascii="Times New Roman" w:hAnsi="Times New Roman" w:cs="Times New Roman"/>
          <w:color w:val="000000"/>
          <w:sz w:val="24"/>
          <w:szCs w:val="24"/>
        </w:rPr>
        <w:t xml:space="preserve">W następnych latach założono wzrost wydatków na wynagrodzenia </w:t>
      </w:r>
      <w:r w:rsidR="00E23514">
        <w:rPr>
          <w:rFonts w:ascii="Times New Roman" w:hAnsi="Times New Roman" w:cs="Times New Roman"/>
          <w:color w:val="000000"/>
          <w:sz w:val="24"/>
          <w:szCs w:val="24"/>
        </w:rPr>
        <w:t>o ok.</w:t>
      </w:r>
      <w:r w:rsidRPr="00345A42">
        <w:rPr>
          <w:rFonts w:ascii="Times New Roman" w:hAnsi="Times New Roman" w:cs="Times New Roman"/>
          <w:color w:val="000000"/>
          <w:sz w:val="24"/>
          <w:szCs w:val="24"/>
        </w:rPr>
        <w:t xml:space="preserve"> </w:t>
      </w:r>
      <w:r w:rsidR="00E23514">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r w:rsidR="00E23514">
        <w:rPr>
          <w:rFonts w:ascii="Times New Roman" w:hAnsi="Times New Roman" w:cs="Times New Roman"/>
          <w:color w:val="000000"/>
          <w:sz w:val="24"/>
          <w:szCs w:val="24"/>
        </w:rPr>
        <w: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terytorialnego zaliczono wydatki z rozdziałów 75022 i 75023. W 2015 r. suma wydatków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bieżących na ww. rozdziały po zmianie to kwota 4.18</w:t>
      </w:r>
      <w:r w:rsidR="00F37DD7">
        <w:rPr>
          <w:rFonts w:ascii="Times New Roman" w:hAnsi="Times New Roman" w:cs="Times New Roman"/>
          <w:sz w:val="24"/>
          <w:szCs w:val="24"/>
        </w:rPr>
        <w:t>2</w:t>
      </w:r>
      <w:r w:rsidRPr="00345A42">
        <w:rPr>
          <w:rFonts w:ascii="Times New Roman" w:hAnsi="Times New Roman" w:cs="Times New Roman"/>
          <w:sz w:val="24"/>
          <w:szCs w:val="24"/>
        </w:rPr>
        <w:t>.</w:t>
      </w:r>
      <w:r w:rsidR="00F37DD7">
        <w:rPr>
          <w:rFonts w:ascii="Times New Roman" w:hAnsi="Times New Roman" w:cs="Times New Roman"/>
          <w:sz w:val="24"/>
          <w:szCs w:val="24"/>
        </w:rPr>
        <w:t>3</w:t>
      </w:r>
      <w:r w:rsidRPr="00345A42">
        <w:rPr>
          <w:rFonts w:ascii="Times New Roman" w:hAnsi="Times New Roman" w:cs="Times New Roman"/>
          <w:sz w:val="24"/>
          <w:szCs w:val="24"/>
        </w:rPr>
        <w:t xml:space="preserve">12,29 zł.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2016-2025 założono systematyczny wzrost w przedziale od 2-2,5%.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345A42">
        <w:rPr>
          <w:rFonts w:ascii="Times New Roman" w:hAnsi="Times New Roman" w:cs="Times New Roman"/>
          <w:sz w:val="24"/>
          <w:szCs w:val="24"/>
        </w:rPr>
        <w:t>Wydatki bieżące po zmianach zaplano</w:t>
      </w:r>
      <w:r w:rsidR="004B6CDE">
        <w:rPr>
          <w:rFonts w:ascii="Times New Roman" w:hAnsi="Times New Roman" w:cs="Times New Roman"/>
          <w:sz w:val="24"/>
          <w:szCs w:val="24"/>
        </w:rPr>
        <w:t xml:space="preserve">wano na kwotę </w:t>
      </w:r>
      <w:r w:rsidR="00EC24AC">
        <w:rPr>
          <w:rFonts w:ascii="Times New Roman" w:hAnsi="Times New Roman" w:cs="Times New Roman"/>
          <w:sz w:val="24"/>
          <w:szCs w:val="24"/>
        </w:rPr>
        <w:t>47.</w:t>
      </w:r>
      <w:r w:rsidR="00DD311C">
        <w:rPr>
          <w:rFonts w:ascii="Times New Roman" w:hAnsi="Times New Roman" w:cs="Times New Roman"/>
          <w:sz w:val="24"/>
          <w:szCs w:val="24"/>
        </w:rPr>
        <w:t>970.242</w:t>
      </w:r>
      <w:bookmarkStart w:id="0" w:name="_GoBack"/>
      <w:bookmarkEnd w:id="0"/>
      <w:r w:rsidR="00EC24AC">
        <w:rPr>
          <w:rFonts w:ascii="Times New Roman" w:hAnsi="Times New Roman" w:cs="Times New Roman"/>
          <w:sz w:val="24"/>
          <w:szCs w:val="24"/>
        </w:rPr>
        <w:t>,</w:t>
      </w:r>
      <w:r w:rsidR="004D3773">
        <w:rPr>
          <w:rFonts w:ascii="Times New Roman" w:hAnsi="Times New Roman" w:cs="Times New Roman"/>
          <w:sz w:val="24"/>
          <w:szCs w:val="24"/>
        </w:rPr>
        <w:t>05</w:t>
      </w:r>
      <w:r w:rsidR="004B6CDE">
        <w:rPr>
          <w:rFonts w:ascii="Times New Roman" w:hAnsi="Times New Roman" w:cs="Times New Roman"/>
          <w:sz w:val="24"/>
          <w:szCs w:val="24"/>
        </w:rPr>
        <w:t xml:space="preserve"> zł</w:t>
      </w:r>
      <w:r w:rsidRPr="00345A42">
        <w:rPr>
          <w:rFonts w:ascii="Times New Roman" w:hAnsi="Times New Roman" w:cs="Times New Roman"/>
          <w:sz w:val="24"/>
          <w:szCs w:val="24"/>
        </w:rPr>
        <w:t xml:space="preserve"> w tym na odsetki </w:t>
      </w:r>
      <w:r w:rsidRPr="00345A42">
        <w:rPr>
          <w:rFonts w:ascii="Times New Roman" w:hAnsi="Times New Roman" w:cs="Times New Roman"/>
          <w:sz w:val="24"/>
          <w:szCs w:val="24"/>
        </w:rPr>
        <w:br/>
        <w:t xml:space="preserve">od zaciągniętych kredytów i pożyczek 467.200,00 zł.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sz w:val="24"/>
          <w:szCs w:val="24"/>
        </w:rPr>
        <w:lastRenderedPageBreak/>
        <w:t>Przyjęto globalny poziom wydatków bieżących, na poziomie ich wykonania w 2014 roku</w:t>
      </w:r>
      <w:r w:rsidR="004B6CDE">
        <w:rPr>
          <w:rFonts w:ascii="Times New Roman" w:hAnsi="Times New Roman" w:cs="Times New Roman"/>
          <w:sz w:val="24"/>
          <w:szCs w:val="24"/>
        </w:rPr>
        <w:t xml:space="preserve"> oraz przeznaczenia części wolnych środków z 2014 roku wprowadzonych do budżetu na zadania bieżące</w:t>
      </w:r>
      <w:r w:rsidRPr="00345A42">
        <w:rPr>
          <w:rFonts w:ascii="Times New Roman" w:hAnsi="Times New Roman" w:cs="Times New Roman"/>
          <w:sz w:val="24"/>
          <w:szCs w:val="24"/>
        </w:rPr>
        <w: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rPr>
      </w:pPr>
      <w:r w:rsidRPr="00345A42">
        <w:rPr>
          <w:rFonts w:ascii="Times New Roman" w:hAnsi="Times New Roman" w:cs="Times New Roman"/>
          <w:sz w:val="24"/>
          <w:szCs w:val="24"/>
        </w:rPr>
        <w:t>Podobny wzrost wydatków bieżących wykazano w latach 2016-2025.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345A42" w:rsidRPr="00345A42" w:rsidRDefault="00345A42" w:rsidP="00345A4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są zgodnie z przyjętymi harmonogramami ich realizacji oraz uzależnione są od poszczególnych zatwierdzonych etapów przedsięwzięć. Ich wzrost nie jest uzależniony od wskaźnika inflacji czy żadnych obowiązujących wartości makroekonomicznych.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345A42" w:rsidRPr="00345A42" w:rsidRDefault="00345A42" w:rsidP="00345A4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2015 -     2.</w:t>
      </w:r>
      <w:r w:rsidR="001B27E3">
        <w:rPr>
          <w:rFonts w:ascii="Times New Roman" w:hAnsi="Times New Roman" w:cs="Times New Roman"/>
          <w:sz w:val="24"/>
          <w:szCs w:val="24"/>
        </w:rPr>
        <w:t>989</w:t>
      </w:r>
      <w:r w:rsidRPr="00345A42">
        <w:rPr>
          <w:rFonts w:ascii="Times New Roman" w:hAnsi="Times New Roman" w:cs="Times New Roman"/>
          <w:sz w:val="24"/>
          <w:szCs w:val="24"/>
        </w:rPr>
        <w:t>.800 zł</w:t>
      </w:r>
    </w:p>
    <w:p w:rsidR="00345A42" w:rsidRPr="00345A42" w:rsidRDefault="00345A42" w:rsidP="00345A4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2016 -     1.470.000 zł</w:t>
      </w:r>
    </w:p>
    <w:p w:rsidR="00345A42" w:rsidRPr="00345A42" w:rsidRDefault="00345A42" w:rsidP="00345A4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     1.000.000 zł.</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r w:rsidR="00296ED2">
        <w:rPr>
          <w:rFonts w:ascii="Times New Roman" w:hAnsi="Times New Roman" w:cs="Times New Roman"/>
          <w:b/>
          <w:bCs/>
          <w:sz w:val="24"/>
          <w:szCs w:val="24"/>
          <w:u w:val="single"/>
        </w:rPr>
        <w:t xml:space="preserve"> po dokonanych zmianach</w:t>
      </w:r>
      <w:r w:rsidRPr="00345A42">
        <w:rPr>
          <w:rFonts w:ascii="Times New Roman" w:hAnsi="Times New Roman" w:cs="Times New Roman"/>
          <w:b/>
          <w:bCs/>
          <w:sz w:val="24"/>
          <w:szCs w:val="24"/>
          <w:u w:val="single"/>
        </w:rPr>
        <w:t>:</w:t>
      </w:r>
    </w:p>
    <w:p w:rsidR="00345A42" w:rsidRPr="00345A42" w:rsidRDefault="00345A42" w:rsidP="00345A42">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345A42">
        <w:rPr>
          <w:rFonts w:ascii="Times New Roman" w:hAnsi="Times New Roman" w:cs="Times New Roman"/>
          <w:b/>
          <w:bCs/>
          <w:sz w:val="24"/>
          <w:szCs w:val="24"/>
        </w:rPr>
        <w:t xml:space="preserve">„Budowa parkingu przy bloku nr 17 ulicy Czarnkowskiej – etap II” </w:t>
      </w:r>
      <w:r w:rsidRPr="00345A42">
        <w:rPr>
          <w:rFonts w:ascii="Times New Roman" w:hAnsi="Times New Roman" w:cs="Times New Roman"/>
          <w:sz w:val="24"/>
          <w:szCs w:val="24"/>
        </w:rPr>
        <w:t xml:space="preserve"> przedsięwzięcie zaplanowano na lata 2014-2015.</w:t>
      </w:r>
    </w:p>
    <w:p w:rsidR="00345A42" w:rsidRPr="00345A42" w:rsidRDefault="00345A42" w:rsidP="00345A42">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b/>
          <w:bCs/>
          <w:i/>
          <w:iCs/>
          <w:sz w:val="24"/>
          <w:szCs w:val="24"/>
        </w:rPr>
        <w:t>„Zakup nieruchomości zabudowanej, położonej w Rogoźnie – działki 1508/2; 1512/3”</w:t>
      </w:r>
      <w:r w:rsidRPr="00345A42">
        <w:rPr>
          <w:rFonts w:ascii="Times New Roman" w:hAnsi="Times New Roman" w:cs="Times New Roman"/>
          <w:sz w:val="24"/>
          <w:szCs w:val="24"/>
        </w:rPr>
        <w:t xml:space="preserve"> –  przedsięwzięcie zaplanowano na lata 2014-2016.  Druga rata zapłaty za nabycie nieruchomości zabudowanej, położonej w Rogoźnie (nieruchomość po Agrobiznesie). Trzecia rata płatna w 2016 roku.</w:t>
      </w:r>
    </w:p>
    <w:p w:rsidR="00345A42" w:rsidRPr="00345A42" w:rsidRDefault="00345A42" w:rsidP="00345A42">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b/>
          <w:bCs/>
          <w:i/>
          <w:iCs/>
          <w:sz w:val="24"/>
          <w:szCs w:val="24"/>
        </w:rPr>
        <w:t>„ Dofinansowanie zakupu średniego samochodu ratowniczo – gaśniczego dla OSP Parkowo”</w:t>
      </w:r>
      <w:r w:rsidRPr="00345A42">
        <w:rPr>
          <w:rFonts w:ascii="Times New Roman" w:hAnsi="Times New Roman" w:cs="Times New Roman"/>
          <w:b/>
          <w:bCs/>
          <w:sz w:val="24"/>
          <w:szCs w:val="24"/>
        </w:rPr>
        <w:t xml:space="preserve">  - </w:t>
      </w:r>
      <w:r w:rsidRPr="00345A42">
        <w:rPr>
          <w:rFonts w:ascii="Times New Roman" w:hAnsi="Times New Roman" w:cs="Times New Roman"/>
          <w:sz w:val="24"/>
          <w:szCs w:val="24"/>
        </w:rPr>
        <w:t>umowa została podpisana w 2014 roku w ramach zadania „ Poprawa bezpieczeństwa środowiskowego i ekologicznego na obszarze Województwa Wielkopolskiego poprzez zakup samochodów dla OSP w ramach KSRG – etap III”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Różnicę wynikającą z wykazu przedsięwzięć  przedstawionych w załączniku do Wieloletniej Prognozy Finansowej a wydatkami majątkowymi  ujętymi w Wieloletniej Prognozie Finansowej stanowią nakłady na inwestycje lub zakupy inwestycyjne realizowane  tylko </w:t>
      </w:r>
      <w:r w:rsidRPr="00345A42">
        <w:rPr>
          <w:rFonts w:ascii="Times New Roman" w:hAnsi="Times New Roman" w:cs="Times New Roman"/>
          <w:sz w:val="24"/>
          <w:szCs w:val="24"/>
        </w:rPr>
        <w:br/>
        <w:t>w jednym roku.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Zgodnie z art. 217 ust. 1 ustawy o finansach publicznych różnica pomiędzy dochodami a wydatkami stanowi wynik budżetu jednostki samorządu terytorialnego. Dodatnia różnica to nadwyżka budżetowa, ujemna - to deficyt budżetu. W roku 2015 </w:t>
      </w:r>
      <w:r w:rsidR="00296ED2">
        <w:rPr>
          <w:rFonts w:ascii="Times New Roman" w:hAnsi="Times New Roman" w:cs="Times New Roman"/>
          <w:sz w:val="24"/>
          <w:szCs w:val="24"/>
        </w:rPr>
        <w:br/>
      </w:r>
      <w:r w:rsidRPr="00345A42">
        <w:rPr>
          <w:rFonts w:ascii="Times New Roman" w:hAnsi="Times New Roman" w:cs="Times New Roman"/>
          <w:sz w:val="24"/>
          <w:szCs w:val="24"/>
        </w:rPr>
        <w:t>po dokonanych zmianach zaplanowano deficyt w kwocie 1</w:t>
      </w:r>
      <w:r w:rsidR="00E83E5D">
        <w:rPr>
          <w:rFonts w:ascii="Times New Roman" w:hAnsi="Times New Roman" w:cs="Times New Roman"/>
          <w:sz w:val="24"/>
          <w:szCs w:val="24"/>
        </w:rPr>
        <w:t>75</w:t>
      </w:r>
      <w:r w:rsidRPr="00345A42">
        <w:rPr>
          <w:rFonts w:ascii="Times New Roman" w:hAnsi="Times New Roman" w:cs="Times New Roman"/>
          <w:sz w:val="24"/>
          <w:szCs w:val="24"/>
        </w:rPr>
        <w:t xml:space="preserve">.200 zł. Uchwałą </w:t>
      </w:r>
      <w:r w:rsidR="00533E5F">
        <w:rPr>
          <w:rFonts w:ascii="Times New Roman" w:hAnsi="Times New Roman" w:cs="Times New Roman"/>
          <w:sz w:val="24"/>
          <w:szCs w:val="24"/>
        </w:rPr>
        <w:t xml:space="preserve">nr </w:t>
      </w:r>
      <w:r w:rsidR="00E83E5D">
        <w:rPr>
          <w:rFonts w:ascii="Times New Roman" w:hAnsi="Times New Roman" w:cs="Times New Roman"/>
          <w:sz w:val="24"/>
          <w:szCs w:val="24"/>
        </w:rPr>
        <w:t xml:space="preserve">XIII </w:t>
      </w:r>
      <w:r w:rsidR="00533E5F">
        <w:rPr>
          <w:rFonts w:ascii="Times New Roman" w:hAnsi="Times New Roman" w:cs="Times New Roman"/>
          <w:sz w:val="24"/>
          <w:szCs w:val="24"/>
        </w:rPr>
        <w:t xml:space="preserve">//2015 </w:t>
      </w:r>
      <w:r w:rsidRPr="00345A42">
        <w:rPr>
          <w:rFonts w:ascii="Times New Roman" w:hAnsi="Times New Roman" w:cs="Times New Roman"/>
          <w:sz w:val="24"/>
          <w:szCs w:val="24"/>
        </w:rPr>
        <w:t xml:space="preserve">z dnia </w:t>
      </w:r>
      <w:r w:rsidR="00E83E5D">
        <w:rPr>
          <w:rFonts w:ascii="Times New Roman" w:hAnsi="Times New Roman" w:cs="Times New Roman"/>
          <w:sz w:val="24"/>
          <w:szCs w:val="24"/>
        </w:rPr>
        <w:t>29 czerwca</w:t>
      </w:r>
      <w:r w:rsidRPr="00345A42">
        <w:rPr>
          <w:rFonts w:ascii="Times New Roman" w:hAnsi="Times New Roman" w:cs="Times New Roman"/>
          <w:sz w:val="24"/>
          <w:szCs w:val="24"/>
        </w:rPr>
        <w:t xml:space="preserve"> 2015 roku wprowadzono przychody z tytułu rozliczeń kredytów i pożyczek </w:t>
      </w:r>
      <w:r w:rsidR="00533E5F">
        <w:rPr>
          <w:rFonts w:ascii="Times New Roman" w:hAnsi="Times New Roman" w:cs="Times New Roman"/>
          <w:sz w:val="24"/>
          <w:szCs w:val="24"/>
        </w:rPr>
        <w:br/>
      </w:r>
      <w:r w:rsidRPr="00345A42">
        <w:rPr>
          <w:rFonts w:ascii="Times New Roman" w:hAnsi="Times New Roman" w:cs="Times New Roman"/>
          <w:sz w:val="24"/>
          <w:szCs w:val="24"/>
        </w:rPr>
        <w:t>z lat ubiegłych (wolne środki</w:t>
      </w:r>
      <w:r w:rsidR="00296ED2">
        <w:rPr>
          <w:rFonts w:ascii="Times New Roman" w:hAnsi="Times New Roman" w:cs="Times New Roman"/>
          <w:sz w:val="24"/>
          <w:szCs w:val="24"/>
        </w:rPr>
        <w:t>)</w:t>
      </w:r>
      <w:r w:rsidRPr="00345A42">
        <w:rPr>
          <w:rFonts w:ascii="Times New Roman" w:hAnsi="Times New Roman" w:cs="Times New Roman"/>
          <w:sz w:val="24"/>
          <w:szCs w:val="24"/>
        </w:rPr>
        <w:t xml:space="preserve"> w kwocie 1.8</w:t>
      </w:r>
      <w:r w:rsidR="00E83E5D">
        <w:rPr>
          <w:rFonts w:ascii="Times New Roman" w:hAnsi="Times New Roman" w:cs="Times New Roman"/>
          <w:sz w:val="24"/>
          <w:szCs w:val="24"/>
        </w:rPr>
        <w:t>52</w:t>
      </w:r>
      <w:r w:rsidRPr="00345A42">
        <w:rPr>
          <w:rFonts w:ascii="Times New Roman" w:hAnsi="Times New Roman" w:cs="Times New Roman"/>
          <w:sz w:val="24"/>
          <w:szCs w:val="24"/>
        </w:rPr>
        <w:t>.000 zł.</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2016-2025 planuje się budżet z nadwyżką.</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lastRenderedPageBreak/>
        <w:t xml:space="preserve">Zgodnie z obowiązującym prawem Gmina korzystała i od 2015 roku nie planuje korzystać </w:t>
      </w:r>
      <w:r w:rsidRPr="00345A42">
        <w:rPr>
          <w:rFonts w:ascii="Times New Roman" w:hAnsi="Times New Roman" w:cs="Times New Roman"/>
          <w:sz w:val="24"/>
          <w:szCs w:val="24"/>
        </w:rPr>
        <w:br/>
        <w:t>z instrumentu finansowego jakim jest dług publiczny.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jak wiadomo kierowany jest na potrzeby pożyczkowe, które rozumie się jako zapotrzebowanie na środki finansowe niezbędne do: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Nowa ustawa o finansach publicznych nie określa maksymalnego poziomu zadłużenia. Sztywne ograniczenie zadłużenia zastąpione zostało jednym wskaźnikiem zadłużenia opartym na wyniku części bieżącej budżetu jednostki samorządu terytorialnego, stanowiącym różnicę pomiędzy dochodami bieżącymi i wydatkami bieżącymi. W nowej formule wskaźnika kategoria nadwyżki bieżącej powiększona została o dochody ze sprzedaży majątku, </w:t>
      </w:r>
      <w:r w:rsidRPr="00345A42">
        <w:rPr>
          <w:rFonts w:ascii="Times New Roman" w:hAnsi="Times New Roman" w:cs="Times New Roman"/>
          <w:sz w:val="24"/>
          <w:szCs w:val="24"/>
        </w:rPr>
        <w:br/>
        <w:t>co ma na celu promowanie aktywnych form zarządzania majątkiem samorządowym. Relacja ta dla każdej jednostki samorządowej kształtować się będzie na innym poziomie, w zależności od zdolności generowania nadwyżki na działalności bieżącej, a także możliwości pozyskania dochodów ze sprzedaży majątku.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2015-2025 ustawowe wymogi, w zakresie wielkości wskaźników zostały spełnione.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2,6% plus marżę wynikającą z zawartych umów.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Wysokość procentowania: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od 3,5 – 4,2 %,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2015 roku  nie założono przychodów z tytułu kredytów.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2015-2025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Pr>
          <w:rFonts w:ascii="Times New Roman" w:hAnsi="Times New Roman" w:cs="Times New Roman"/>
          <w:noProof/>
          <w:lang w:eastAsia="pl-PL"/>
        </w:rPr>
        <w:lastRenderedPageBreak/>
        <w:drawing>
          <wp:inline distT="0" distB="0" distL="0" distR="0">
            <wp:extent cx="5617845" cy="2392045"/>
            <wp:effectExtent l="0" t="0" r="1905"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7845" cy="2392045"/>
                    </a:xfrm>
                    <a:prstGeom prst="rect">
                      <a:avLst/>
                    </a:prstGeom>
                    <a:noFill/>
                    <a:ln>
                      <a:noFill/>
                    </a:ln>
                  </pic:spPr>
                </pic:pic>
              </a:graphicData>
            </a:graphic>
          </wp:inline>
        </w:drawing>
      </w:r>
    </w:p>
    <w:p w:rsidR="00345A42" w:rsidRPr="00345A42" w:rsidRDefault="00345A42" w:rsidP="00345A42">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2015-2025.</w:t>
      </w:r>
      <w:r w:rsidRPr="00345A42">
        <w:rPr>
          <w:rFonts w:ascii="Times New Roman" w:hAnsi="Times New Roman" w:cs="Times New Roman"/>
        </w:rPr>
        <w:tab/>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sidR="004565F0">
        <w:rPr>
          <w:rFonts w:ascii="Times New Roman" w:hAnsi="Times New Roman" w:cs="Times New Roman"/>
        </w:rPr>
        <w:t>ły</w:t>
      </w:r>
      <w:r w:rsidRPr="00345A42">
        <w:rPr>
          <w:rFonts w:ascii="Times New Roman" w:hAnsi="Times New Roman" w:cs="Times New Roman"/>
        </w:rPr>
        <w:t xml:space="preserve"> możliwość uchwalenia budżetu w wyznaczonych ramach dochodów i wydatków.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sectPr w:rsidR="00345A42" w:rsidRPr="00345A42" w:rsidSect="00AB4D18">
          <w:headerReference w:type="default" r:id="rId10"/>
          <w:footerReference w:type="default" r:id="rId11"/>
          <w:pgSz w:w="11906" w:h="16838"/>
          <w:pgMar w:top="1418" w:right="1418" w:bottom="794" w:left="1418" w:header="709" w:footer="709" w:gutter="0"/>
          <w:pgNumType w:start="1"/>
          <w:cols w:space="708"/>
          <w:noEndnote/>
        </w:sectPr>
      </w:pP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lastRenderedPageBreak/>
        <w:t>Zestawienie wskaźników dla Wieloletniej Prognozy Finansowej na lata 2015-2025</w:t>
      </w:r>
    </w:p>
    <w:p w:rsid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p>
    <w:tbl>
      <w:tblPr>
        <w:tblStyle w:val="Tabela-Siatka"/>
        <w:tblW w:w="0" w:type="auto"/>
        <w:tblLook w:val="04A0" w:firstRow="1" w:lastRow="0" w:firstColumn="1" w:lastColumn="0" w:noHBand="0" w:noVBand="1"/>
      </w:tblPr>
      <w:tblGrid>
        <w:gridCol w:w="696"/>
        <w:gridCol w:w="3240"/>
        <w:gridCol w:w="2976"/>
        <w:gridCol w:w="2127"/>
      </w:tblGrid>
      <w:tr w:rsidR="00533E5F" w:rsidTr="00A84DD3">
        <w:tc>
          <w:tcPr>
            <w:tcW w:w="696" w:type="dxa"/>
            <w:tcBorders>
              <w:bottom w:val="single" w:sz="4" w:space="0" w:color="auto"/>
            </w:tcBorders>
            <w:shd w:val="clear" w:color="auto" w:fill="92D050"/>
          </w:tcPr>
          <w:p w:rsidR="00533E5F" w:rsidRPr="00533E5F"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533E5F" w:rsidRPr="00533E5F"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533E5F" w:rsidRPr="00533E5F"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2015</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A84DD3">
              <w:rPr>
                <w:rFonts w:ascii="Times New Roman" w:hAnsi="Times New Roman" w:cs="Times New Roman"/>
                <w:bCs/>
                <w:iCs/>
                <w:sz w:val="18"/>
                <w:szCs w:val="18"/>
              </w:rPr>
              <w:t>8,88</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6,69</w:t>
            </w:r>
          </w:p>
        </w:tc>
        <w:tc>
          <w:tcPr>
            <w:tcW w:w="2127" w:type="dxa"/>
          </w:tcPr>
          <w:p w:rsidR="00533E5F" w:rsidRPr="00A84DD3" w:rsidRDefault="00A84DD3" w:rsidP="00435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EC24AC">
              <w:rPr>
                <w:rFonts w:ascii="Times New Roman" w:hAnsi="Times New Roman" w:cs="Times New Roman"/>
                <w:bCs/>
                <w:iCs/>
                <w:sz w:val="18"/>
                <w:szCs w:val="18"/>
              </w:rPr>
              <w:t>2</w:t>
            </w:r>
            <w:r w:rsidR="004355FB">
              <w:rPr>
                <w:rFonts w:ascii="Times New Roman" w:hAnsi="Times New Roman" w:cs="Times New Roman"/>
                <w:bCs/>
                <w:iCs/>
                <w:sz w:val="18"/>
                <w:szCs w:val="18"/>
              </w:rPr>
              <w:t>2</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2016</w:t>
            </w:r>
          </w:p>
        </w:tc>
        <w:tc>
          <w:tcPr>
            <w:tcW w:w="3240" w:type="dxa"/>
          </w:tcPr>
          <w:p w:rsidR="00533E5F" w:rsidRPr="00A84DD3" w:rsidRDefault="005C5F09"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6,56</w:t>
            </w:r>
          </w:p>
        </w:tc>
        <w:tc>
          <w:tcPr>
            <w:tcW w:w="2976" w:type="dxa"/>
          </w:tcPr>
          <w:p w:rsidR="00533E5F" w:rsidRPr="00A84DD3" w:rsidRDefault="005C5F09" w:rsidP="00EC24A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4,37</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4,12</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533E5F" w:rsidRPr="00A84DD3" w:rsidRDefault="005C5F09"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6,16</w:t>
            </w:r>
          </w:p>
        </w:tc>
        <w:tc>
          <w:tcPr>
            <w:tcW w:w="2976" w:type="dxa"/>
          </w:tcPr>
          <w:p w:rsidR="00533E5F" w:rsidRPr="00A84DD3" w:rsidRDefault="005C5F09"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3,91</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533E5F" w:rsidRPr="00A84DD3" w:rsidRDefault="005C5F09"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5,15</w:t>
            </w:r>
          </w:p>
        </w:tc>
        <w:tc>
          <w:tcPr>
            <w:tcW w:w="2976" w:type="dxa"/>
          </w:tcPr>
          <w:p w:rsidR="00533E5F" w:rsidRPr="00A84DD3" w:rsidRDefault="005C5F09"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5,15</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3,76</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4,89</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4,89</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3,54</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3,86</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3,86</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1,99</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2,69</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2,69</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1,88</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2,17</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2,17</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1,77</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1,66</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1,66</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1,65</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1,62</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1,62</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0,89</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1,35</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1,35</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0,67</w:t>
            </w:r>
          </w:p>
        </w:tc>
      </w:tr>
    </w:tbl>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sz w:val="24"/>
          <w:szCs w:val="24"/>
        </w:rPr>
        <w:t xml:space="preserve">Dopuszczalny wskaźnik obsługi zadłużenia został obliczony zgodnie z wzorem określonym </w:t>
      </w:r>
      <w:r w:rsidRPr="00345A42">
        <w:rPr>
          <w:rFonts w:ascii="Times New Roman" w:hAnsi="Times New Roman" w:cs="Times New Roman"/>
          <w:sz w:val="24"/>
          <w:szCs w:val="24"/>
        </w:rPr>
        <w:br/>
        <w:t>w art. 243 Ustawy o finansach publicznych.  Wskaźnik uwzględnia spłaty kredytów</w:t>
      </w:r>
      <w:r w:rsidRPr="00345A42">
        <w:rPr>
          <w:rFonts w:ascii="Times New Roman" w:hAnsi="Times New Roman" w:cs="Times New Roman"/>
          <w:sz w:val="24"/>
          <w:szCs w:val="24"/>
        </w:rPr>
        <w:br/>
        <w:t xml:space="preserve"> i pożyczek.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rPr>
      </w:pPr>
      <w:r w:rsidRPr="00345A42">
        <w:rPr>
          <w:rFonts w:ascii="Times New Roman" w:hAnsi="Times New Roman" w:cs="Times New Roman"/>
          <w:sz w:val="24"/>
          <w:szCs w:val="24"/>
        </w:rPr>
        <w:t>W całym okresie prognozy długu wskaźniki zadłużenia i jego obsługi nie zostały przekroczone.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t>
      </w:r>
    </w:p>
    <w:p w:rsidR="00296ED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Wówczas zajdzie konieczność dostosowania wieloletniej prognozy finansowej do nowej </w:t>
      </w:r>
      <w:r w:rsidRPr="00345A42">
        <w:rPr>
          <w:rFonts w:ascii="Times New Roman" w:hAnsi="Times New Roman" w:cs="Times New Roman"/>
          <w:sz w:val="24"/>
          <w:szCs w:val="24"/>
        </w:rPr>
        <w:br/>
        <w:t xml:space="preserve">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sectPr w:rsidR="00296ED2" w:rsidRPr="00345A42" w:rsidSect="00B73409">
      <w:type w:val="continuous"/>
      <w:pgSz w:w="11906" w:h="16838"/>
      <w:pgMar w:top="1417" w:right="1417" w:bottom="1417" w:left="1417"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F63" w:rsidRDefault="00303F63">
      <w:pPr>
        <w:spacing w:after="0" w:line="240" w:lineRule="auto"/>
      </w:pPr>
      <w:r>
        <w:separator/>
      </w:r>
    </w:p>
  </w:endnote>
  <w:endnote w:type="continuationSeparator" w:id="0">
    <w:p w:rsidR="00303F63" w:rsidRDefault="00303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409" w:rsidRDefault="00303F63">
    <w:pPr>
      <w:pStyle w:val="Stopka"/>
      <w:jc w:val="right"/>
      <w:rPr>
        <w:rFonts w:ascii="Times New Roman" w:hAnsi="Times New Roman" w:cs="Times New Roman"/>
      </w:rPr>
    </w:pPr>
  </w:p>
  <w:p w:rsidR="00B73409" w:rsidRDefault="00303F63">
    <w:pPr>
      <w:pStyle w:val="Stopka"/>
      <w:jc w:val="right"/>
      <w:rPr>
        <w:rFonts w:ascii="Times New Roman" w:hAnsi="Times New Roman" w:cs="Times New Roman"/>
      </w:rPr>
    </w:pPr>
  </w:p>
  <w:p w:rsidR="00B73409" w:rsidRDefault="00303F63">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F63" w:rsidRDefault="00303F63">
      <w:pPr>
        <w:spacing w:after="0" w:line="240" w:lineRule="auto"/>
      </w:pPr>
      <w:r>
        <w:separator/>
      </w:r>
    </w:p>
  </w:footnote>
  <w:footnote w:type="continuationSeparator" w:id="0">
    <w:p w:rsidR="00303F63" w:rsidRDefault="00303F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409" w:rsidRDefault="00296ED2">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2015-2025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A42"/>
    <w:rsid w:val="00183CFB"/>
    <w:rsid w:val="001B27E3"/>
    <w:rsid w:val="002765FD"/>
    <w:rsid w:val="002858C2"/>
    <w:rsid w:val="00296ED2"/>
    <w:rsid w:val="002B620F"/>
    <w:rsid w:val="00303F63"/>
    <w:rsid w:val="00312AF3"/>
    <w:rsid w:val="00345A42"/>
    <w:rsid w:val="00374CB3"/>
    <w:rsid w:val="00394367"/>
    <w:rsid w:val="003C58D3"/>
    <w:rsid w:val="003E5A8D"/>
    <w:rsid w:val="004355FB"/>
    <w:rsid w:val="004565F0"/>
    <w:rsid w:val="00484FFF"/>
    <w:rsid w:val="004864B5"/>
    <w:rsid w:val="004944D4"/>
    <w:rsid w:val="004B6CDE"/>
    <w:rsid w:val="004D3773"/>
    <w:rsid w:val="00514EDE"/>
    <w:rsid w:val="00533E5F"/>
    <w:rsid w:val="005C5F09"/>
    <w:rsid w:val="00664F2B"/>
    <w:rsid w:val="00753077"/>
    <w:rsid w:val="008178FC"/>
    <w:rsid w:val="009815D1"/>
    <w:rsid w:val="00990A5B"/>
    <w:rsid w:val="00A50C31"/>
    <w:rsid w:val="00A66F54"/>
    <w:rsid w:val="00A84DD3"/>
    <w:rsid w:val="00AB4D18"/>
    <w:rsid w:val="00B31D9D"/>
    <w:rsid w:val="00BE3C02"/>
    <w:rsid w:val="00C11F01"/>
    <w:rsid w:val="00C86819"/>
    <w:rsid w:val="00CB67B6"/>
    <w:rsid w:val="00CC10E6"/>
    <w:rsid w:val="00CE0572"/>
    <w:rsid w:val="00D23232"/>
    <w:rsid w:val="00D83A51"/>
    <w:rsid w:val="00DA7644"/>
    <w:rsid w:val="00DD1FA0"/>
    <w:rsid w:val="00DD311C"/>
    <w:rsid w:val="00E23514"/>
    <w:rsid w:val="00E83E5D"/>
    <w:rsid w:val="00EC24AC"/>
    <w:rsid w:val="00F37DD7"/>
    <w:rsid w:val="00FB3EB6"/>
    <w:rsid w:val="00FF73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345A42"/>
    <w:pPr>
      <w:widowControl w:val="0"/>
      <w:autoSpaceDE w:val="0"/>
      <w:autoSpaceDN w:val="0"/>
      <w:adjustRightInd w:val="0"/>
      <w:spacing w:after="0" w:line="240" w:lineRule="auto"/>
    </w:pPr>
    <w:rPr>
      <w:rFonts w:ascii="Arial" w:hAnsi="Arial" w:cs="Arial"/>
      <w:sz w:val="24"/>
      <w:szCs w:val="24"/>
    </w:rPr>
  </w:style>
  <w:style w:type="paragraph" w:styleId="Nagwek">
    <w:name w:val="header"/>
    <w:basedOn w:val="Normalny"/>
    <w:link w:val="NagwekZnak"/>
    <w:uiPriority w:val="99"/>
    <w:rsid w:val="00345A4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5A42"/>
    <w:rPr>
      <w:rFonts w:ascii="Calibri" w:hAnsi="Calibri" w:cs="Calibri"/>
    </w:rPr>
  </w:style>
  <w:style w:type="paragraph" w:styleId="Stopka">
    <w:name w:val="footer"/>
    <w:basedOn w:val="Normalny"/>
    <w:link w:val="StopkaZnak"/>
    <w:uiPriority w:val="99"/>
    <w:rsid w:val="00345A4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5A42"/>
    <w:rPr>
      <w:rFonts w:ascii="Calibri" w:hAnsi="Calibri" w:cs="Calibri"/>
    </w:rPr>
  </w:style>
  <w:style w:type="paragraph" w:styleId="Akapitzlist">
    <w:name w:val="List Paragraph"/>
    <w:basedOn w:val="Normalny"/>
    <w:uiPriority w:val="99"/>
    <w:qFormat/>
    <w:rsid w:val="00345A42"/>
    <w:pPr>
      <w:autoSpaceDE w:val="0"/>
      <w:autoSpaceDN w:val="0"/>
      <w:adjustRightInd w:val="0"/>
      <w:spacing w:after="80" w:line="240" w:lineRule="auto"/>
      <w:ind w:left="720"/>
    </w:pPr>
    <w:rPr>
      <w:rFonts w:ascii="Calibri" w:hAnsi="Calibri" w:cs="Calibri"/>
    </w:rPr>
  </w:style>
  <w:style w:type="paragraph" w:styleId="Bezodstpw">
    <w:name w:val="No Spacing"/>
    <w:basedOn w:val="Normal"/>
    <w:uiPriority w:val="99"/>
    <w:qFormat/>
    <w:rsid w:val="00345A42"/>
    <w:pPr>
      <w:widowControl/>
      <w:spacing w:after="80"/>
    </w:pPr>
    <w:rPr>
      <w:rFonts w:ascii="Calibri" w:hAnsi="Calibri" w:cs="Calibri"/>
      <w:sz w:val="22"/>
      <w:szCs w:val="22"/>
    </w:rPr>
  </w:style>
  <w:style w:type="paragraph" w:styleId="Tekstdymka">
    <w:name w:val="Balloon Text"/>
    <w:basedOn w:val="Normalny"/>
    <w:link w:val="TekstdymkaZnak"/>
    <w:uiPriority w:val="99"/>
    <w:semiHidden/>
    <w:unhideWhenUsed/>
    <w:rsid w:val="00345A4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5A42"/>
    <w:rPr>
      <w:rFonts w:ascii="Tahoma" w:hAnsi="Tahoma" w:cs="Tahoma"/>
      <w:sz w:val="16"/>
      <w:szCs w:val="16"/>
    </w:rPr>
  </w:style>
  <w:style w:type="table" w:styleId="Tabela-Siatka">
    <w:name w:val="Table Grid"/>
    <w:basedOn w:val="Standardowy"/>
    <w:uiPriority w:val="59"/>
    <w:rsid w:val="00533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4B6CD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B6CDE"/>
    <w:rPr>
      <w:sz w:val="20"/>
      <w:szCs w:val="20"/>
    </w:rPr>
  </w:style>
  <w:style w:type="character" w:styleId="Odwoanieprzypisukocowego">
    <w:name w:val="endnote reference"/>
    <w:basedOn w:val="Domylnaczcionkaakapitu"/>
    <w:uiPriority w:val="99"/>
    <w:semiHidden/>
    <w:unhideWhenUsed/>
    <w:rsid w:val="004B6CD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345A42"/>
    <w:pPr>
      <w:widowControl w:val="0"/>
      <w:autoSpaceDE w:val="0"/>
      <w:autoSpaceDN w:val="0"/>
      <w:adjustRightInd w:val="0"/>
      <w:spacing w:after="0" w:line="240" w:lineRule="auto"/>
    </w:pPr>
    <w:rPr>
      <w:rFonts w:ascii="Arial" w:hAnsi="Arial" w:cs="Arial"/>
      <w:sz w:val="24"/>
      <w:szCs w:val="24"/>
    </w:rPr>
  </w:style>
  <w:style w:type="paragraph" w:styleId="Nagwek">
    <w:name w:val="header"/>
    <w:basedOn w:val="Normalny"/>
    <w:link w:val="NagwekZnak"/>
    <w:uiPriority w:val="99"/>
    <w:rsid w:val="00345A4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5A42"/>
    <w:rPr>
      <w:rFonts w:ascii="Calibri" w:hAnsi="Calibri" w:cs="Calibri"/>
    </w:rPr>
  </w:style>
  <w:style w:type="paragraph" w:styleId="Stopka">
    <w:name w:val="footer"/>
    <w:basedOn w:val="Normalny"/>
    <w:link w:val="StopkaZnak"/>
    <w:uiPriority w:val="99"/>
    <w:rsid w:val="00345A4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5A42"/>
    <w:rPr>
      <w:rFonts w:ascii="Calibri" w:hAnsi="Calibri" w:cs="Calibri"/>
    </w:rPr>
  </w:style>
  <w:style w:type="paragraph" w:styleId="Akapitzlist">
    <w:name w:val="List Paragraph"/>
    <w:basedOn w:val="Normalny"/>
    <w:uiPriority w:val="99"/>
    <w:qFormat/>
    <w:rsid w:val="00345A42"/>
    <w:pPr>
      <w:autoSpaceDE w:val="0"/>
      <w:autoSpaceDN w:val="0"/>
      <w:adjustRightInd w:val="0"/>
      <w:spacing w:after="80" w:line="240" w:lineRule="auto"/>
      <w:ind w:left="720"/>
    </w:pPr>
    <w:rPr>
      <w:rFonts w:ascii="Calibri" w:hAnsi="Calibri" w:cs="Calibri"/>
    </w:rPr>
  </w:style>
  <w:style w:type="paragraph" w:styleId="Bezodstpw">
    <w:name w:val="No Spacing"/>
    <w:basedOn w:val="Normal"/>
    <w:uiPriority w:val="99"/>
    <w:qFormat/>
    <w:rsid w:val="00345A42"/>
    <w:pPr>
      <w:widowControl/>
      <w:spacing w:after="80"/>
    </w:pPr>
    <w:rPr>
      <w:rFonts w:ascii="Calibri" w:hAnsi="Calibri" w:cs="Calibri"/>
      <w:sz w:val="22"/>
      <w:szCs w:val="22"/>
    </w:rPr>
  </w:style>
  <w:style w:type="paragraph" w:styleId="Tekstdymka">
    <w:name w:val="Balloon Text"/>
    <w:basedOn w:val="Normalny"/>
    <w:link w:val="TekstdymkaZnak"/>
    <w:uiPriority w:val="99"/>
    <w:semiHidden/>
    <w:unhideWhenUsed/>
    <w:rsid w:val="00345A4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5A42"/>
    <w:rPr>
      <w:rFonts w:ascii="Tahoma" w:hAnsi="Tahoma" w:cs="Tahoma"/>
      <w:sz w:val="16"/>
      <w:szCs w:val="16"/>
    </w:rPr>
  </w:style>
  <w:style w:type="table" w:styleId="Tabela-Siatka">
    <w:name w:val="Table Grid"/>
    <w:basedOn w:val="Standardowy"/>
    <w:uiPriority w:val="59"/>
    <w:rsid w:val="00533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4B6CD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B6CDE"/>
    <w:rPr>
      <w:sz w:val="20"/>
      <w:szCs w:val="20"/>
    </w:rPr>
  </w:style>
  <w:style w:type="character" w:styleId="Odwoanieprzypisukocowego">
    <w:name w:val="endnote reference"/>
    <w:basedOn w:val="Domylnaczcionkaakapitu"/>
    <w:uiPriority w:val="99"/>
    <w:semiHidden/>
    <w:unhideWhenUsed/>
    <w:rsid w:val="004B6C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D5AE6-B8DF-4193-BAE6-C92665D2C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11</Pages>
  <Words>3649</Words>
  <Characters>21898</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Gmina Rogoźno</Company>
  <LinksUpToDate>false</LinksUpToDate>
  <CharactersWithSpaces>25497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2015-03-25T12:08:00Z</dcterms:created>
  <dcterms:modified xsi:type="dcterms:W3CDTF">2015-06-30T09:36:00Z</dcterms:modified>
</cp:coreProperties>
</file>