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C35" w:rsidRDefault="00344C35">
      <w:pPr>
        <w:suppressAutoHyphens w:val="0"/>
        <w:autoSpaceDE w:val="0"/>
        <w:spacing w:after="0"/>
        <w:textAlignment w:val="auto"/>
        <w:rPr>
          <w:rFonts w:ascii="Times New Roman" w:hAnsi="Times New Roman"/>
          <w:b/>
          <w:bCs/>
          <w:color w:val="000081"/>
          <w:sz w:val="40"/>
          <w:szCs w:val="40"/>
        </w:rPr>
      </w:pPr>
    </w:p>
    <w:p w:rsidR="00344C35" w:rsidRDefault="00FD32B3">
      <w:pPr>
        <w:suppressAutoHyphens w:val="0"/>
        <w:autoSpaceDE w:val="0"/>
        <w:spacing w:after="0"/>
        <w:jc w:val="center"/>
        <w:textAlignment w:val="auto"/>
      </w:pPr>
      <w:r>
        <w:rPr>
          <w:rFonts w:ascii="Times New Roman" w:hAnsi="Times New Roman"/>
          <w:b/>
          <w:bCs/>
          <w:color w:val="000081"/>
          <w:sz w:val="40"/>
          <w:szCs w:val="40"/>
        </w:rPr>
        <w:t>OBJA</w:t>
      </w:r>
      <w:r>
        <w:rPr>
          <w:rFonts w:ascii="Times New Roman,Bold" w:hAnsi="Times New Roman,Bold" w:cs="Times New Roman,Bold"/>
          <w:b/>
          <w:bCs/>
          <w:color w:val="000081"/>
          <w:sz w:val="40"/>
          <w:szCs w:val="40"/>
        </w:rPr>
        <w:t>Ś</w:t>
      </w:r>
      <w:r>
        <w:rPr>
          <w:rFonts w:ascii="Times New Roman" w:hAnsi="Times New Roman"/>
          <w:b/>
          <w:bCs/>
          <w:color w:val="000081"/>
          <w:sz w:val="40"/>
          <w:szCs w:val="40"/>
        </w:rPr>
        <w:t>NIENIA PRZYJ</w:t>
      </w:r>
      <w:r>
        <w:rPr>
          <w:rFonts w:ascii="Times New Roman,Bold" w:hAnsi="Times New Roman,Bold" w:cs="Times New Roman,Bold"/>
          <w:b/>
          <w:bCs/>
          <w:color w:val="000081"/>
          <w:sz w:val="40"/>
          <w:szCs w:val="40"/>
        </w:rPr>
        <w:t>Ę</w:t>
      </w:r>
      <w:r>
        <w:rPr>
          <w:rFonts w:ascii="Times New Roman" w:hAnsi="Times New Roman"/>
          <w:b/>
          <w:bCs/>
          <w:color w:val="000081"/>
          <w:sz w:val="40"/>
          <w:szCs w:val="40"/>
        </w:rPr>
        <w:t>TYCH WIELKO</w:t>
      </w:r>
      <w:r>
        <w:rPr>
          <w:rFonts w:ascii="Times New Roman,Bold" w:hAnsi="Times New Roman,Bold" w:cs="Times New Roman,Bold"/>
          <w:b/>
          <w:bCs/>
          <w:color w:val="000081"/>
          <w:sz w:val="40"/>
          <w:szCs w:val="40"/>
        </w:rPr>
        <w:t>Ś</w:t>
      </w:r>
      <w:r>
        <w:rPr>
          <w:rFonts w:ascii="Times New Roman" w:hAnsi="Times New Roman"/>
          <w:b/>
          <w:bCs/>
          <w:color w:val="000081"/>
          <w:sz w:val="40"/>
          <w:szCs w:val="40"/>
        </w:rPr>
        <w:t>CI W</w:t>
      </w:r>
    </w:p>
    <w:p w:rsidR="00344C35" w:rsidRDefault="00FD32B3">
      <w:pPr>
        <w:suppressAutoHyphens w:val="0"/>
        <w:autoSpaceDE w:val="0"/>
        <w:spacing w:after="0"/>
        <w:jc w:val="center"/>
        <w:textAlignment w:val="auto"/>
      </w:pPr>
      <w:r>
        <w:rPr>
          <w:rFonts w:ascii="Times New Roman" w:hAnsi="Times New Roman"/>
          <w:b/>
          <w:bCs/>
          <w:color w:val="000081"/>
          <w:sz w:val="40"/>
          <w:szCs w:val="40"/>
        </w:rPr>
        <w:t>WIELOLETNIEJ PROGNOZIE FINANSOWEJ</w:t>
      </w:r>
    </w:p>
    <w:p w:rsidR="00344C35" w:rsidRDefault="00FD32B3">
      <w:pPr>
        <w:suppressAutoHyphens w:val="0"/>
        <w:autoSpaceDE w:val="0"/>
        <w:spacing w:after="0"/>
        <w:jc w:val="center"/>
        <w:textAlignment w:val="auto"/>
      </w:pPr>
      <w:r>
        <w:rPr>
          <w:rFonts w:ascii="Times New Roman" w:hAnsi="Times New Roman"/>
          <w:b/>
          <w:bCs/>
          <w:color w:val="000081"/>
          <w:sz w:val="40"/>
          <w:szCs w:val="40"/>
        </w:rPr>
        <w:t>GMINY ROGOŹNO NA LATA 2015-2025</w:t>
      </w:r>
    </w:p>
    <w:p w:rsidR="00344C35" w:rsidRDefault="00344C35">
      <w:pPr>
        <w:suppressAutoHyphens w:val="0"/>
        <w:autoSpaceDE w:val="0"/>
        <w:spacing w:after="0"/>
        <w:textAlignment w:val="auto"/>
        <w:rPr>
          <w:rFonts w:ascii="Times New Roman,Bold" w:hAnsi="Times New Roman,Bold" w:cs="Times New Roman,Bold"/>
          <w:b/>
          <w:bCs/>
          <w:color w:val="000000"/>
          <w:sz w:val="24"/>
          <w:szCs w:val="24"/>
        </w:rPr>
      </w:pPr>
    </w:p>
    <w:p w:rsidR="00344C35" w:rsidRDefault="00344C35">
      <w:pPr>
        <w:suppressAutoHyphens w:val="0"/>
        <w:autoSpaceDE w:val="0"/>
        <w:spacing w:after="0"/>
        <w:textAlignment w:val="auto"/>
        <w:rPr>
          <w:rFonts w:ascii="Times New Roman,Bold" w:hAnsi="Times New Roman,Bold" w:cs="Times New Roman,Bold"/>
          <w:b/>
          <w:bCs/>
          <w:color w:val="000000"/>
          <w:sz w:val="24"/>
          <w:szCs w:val="24"/>
        </w:rPr>
      </w:pPr>
    </w:p>
    <w:p w:rsidR="00344C35" w:rsidRDefault="00344C35">
      <w:pPr>
        <w:suppressAutoHyphens w:val="0"/>
        <w:autoSpaceDE w:val="0"/>
        <w:spacing w:after="0"/>
        <w:textAlignment w:val="auto"/>
        <w:rPr>
          <w:rFonts w:ascii="Times New Roman,Bold" w:hAnsi="Times New Roman,Bold" w:cs="Times New Roman,Bold"/>
          <w:b/>
          <w:bCs/>
          <w:color w:val="000000"/>
          <w:sz w:val="24"/>
          <w:szCs w:val="24"/>
        </w:rPr>
      </w:pPr>
    </w:p>
    <w:p w:rsidR="00344C35" w:rsidRDefault="00344C35">
      <w:pPr>
        <w:suppressAutoHyphens w:val="0"/>
        <w:autoSpaceDE w:val="0"/>
        <w:spacing w:after="0"/>
        <w:textAlignment w:val="auto"/>
        <w:rPr>
          <w:rFonts w:ascii="Times New Roman,Bold" w:hAnsi="Times New Roman,Bold" w:cs="Times New Roman,Bold"/>
          <w:b/>
          <w:bCs/>
          <w:color w:val="000000"/>
          <w:sz w:val="24"/>
          <w:szCs w:val="24"/>
        </w:rPr>
      </w:pPr>
    </w:p>
    <w:p w:rsidR="00344C35" w:rsidRDefault="00FD32B3">
      <w:pPr>
        <w:suppressAutoHyphens w:val="0"/>
        <w:autoSpaceDE w:val="0"/>
        <w:spacing w:after="0"/>
        <w:jc w:val="center"/>
        <w:textAlignment w:val="auto"/>
        <w:sectPr w:rsidR="00344C3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sectPr>
      </w:pPr>
      <w:r>
        <w:rPr>
          <w:rFonts w:ascii="Times New Roman,Bold" w:hAnsi="Times New Roman,Bold" w:cs="Times New Roman,Bold"/>
          <w:b/>
          <w:bCs/>
          <w:noProof/>
          <w:color w:val="000000"/>
          <w:sz w:val="24"/>
          <w:szCs w:val="24"/>
          <w:lang w:eastAsia="pl-PL"/>
        </w:rPr>
        <w:drawing>
          <wp:inline distT="0" distB="0" distL="0" distR="0">
            <wp:extent cx="4686299" cy="6124578"/>
            <wp:effectExtent l="0" t="0" r="1" b="9522"/>
            <wp:docPr id="1" name="Obraz 3" descr="T:\Błażej\herb - wektory - poprawn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4686299" cy="6124578"/>
                    </a:xfrm>
                    <a:prstGeom prst="rect">
                      <a:avLst/>
                    </a:prstGeom>
                    <a:noFill/>
                    <a:ln>
                      <a:noFill/>
                      <a:prstDash/>
                    </a:ln>
                  </pic:spPr>
                </pic:pic>
              </a:graphicData>
            </a:graphic>
          </wp:inline>
        </w:drawing>
      </w:r>
    </w:p>
    <w:p w:rsidR="00344C35" w:rsidRDefault="00344C35">
      <w:pPr>
        <w:suppressAutoHyphens w:val="0"/>
        <w:autoSpaceDE w:val="0"/>
        <w:spacing w:after="0"/>
        <w:textAlignment w:val="auto"/>
        <w:rPr>
          <w:rFonts w:ascii="Times New Roman,Bold" w:hAnsi="Times New Roman,Bold" w:cs="Times New Roman,Bold"/>
          <w:b/>
          <w:bCs/>
          <w:color w:val="000000"/>
          <w:sz w:val="24"/>
          <w:szCs w:val="24"/>
        </w:rPr>
      </w:pPr>
    </w:p>
    <w:p w:rsidR="00344C35" w:rsidRDefault="00FD32B3">
      <w:pPr>
        <w:suppressAutoHyphens w:val="0"/>
        <w:autoSpaceDE w:val="0"/>
        <w:spacing w:after="0"/>
        <w:textAlignment w:val="auto"/>
      </w:pPr>
      <w:r>
        <w:rPr>
          <w:rFonts w:ascii="Times New Roman,Bold" w:hAnsi="Times New Roman,Bold" w:cs="Times New Roman,Bold"/>
          <w:b/>
          <w:bCs/>
          <w:color w:val="000000"/>
          <w:sz w:val="24"/>
          <w:szCs w:val="24"/>
        </w:rPr>
        <w:t>SPIS TREŚ</w:t>
      </w:r>
      <w:r>
        <w:rPr>
          <w:rFonts w:ascii="Times New Roman" w:hAnsi="Times New Roman"/>
          <w:b/>
          <w:bCs/>
          <w:color w:val="000000"/>
          <w:sz w:val="24"/>
          <w:szCs w:val="24"/>
        </w:rPr>
        <w:t>CI</w:t>
      </w:r>
    </w:p>
    <w:p w:rsidR="00344C35" w:rsidRDefault="00344C35">
      <w:pPr>
        <w:suppressAutoHyphens w:val="0"/>
        <w:autoSpaceDE w:val="0"/>
        <w:spacing w:after="0"/>
        <w:textAlignment w:val="auto"/>
        <w:rPr>
          <w:rFonts w:ascii="Times New Roman" w:hAnsi="Times New Roman"/>
          <w:b/>
          <w:bCs/>
          <w:color w:val="000000"/>
          <w:sz w:val="24"/>
          <w:szCs w:val="24"/>
        </w:rPr>
      </w:pPr>
    </w:p>
    <w:p w:rsidR="00344C35" w:rsidRDefault="00FD32B3">
      <w:pPr>
        <w:suppressAutoHyphens w:val="0"/>
        <w:autoSpaceDE w:val="0"/>
        <w:spacing w:after="0"/>
        <w:textAlignment w:val="auto"/>
      </w:pPr>
      <w:r>
        <w:rPr>
          <w:rFonts w:ascii="Times New Roman" w:hAnsi="Times New Roman"/>
          <w:b/>
          <w:bCs/>
          <w:color w:val="000000"/>
          <w:sz w:val="24"/>
          <w:szCs w:val="24"/>
        </w:rPr>
        <w:t xml:space="preserve">1. </w:t>
      </w:r>
      <w:r>
        <w:rPr>
          <w:rFonts w:ascii="Times New Roman,Bold" w:hAnsi="Times New Roman,Bold" w:cs="Times New Roman,Bold"/>
          <w:b/>
          <w:bCs/>
          <w:color w:val="000000"/>
          <w:sz w:val="24"/>
          <w:szCs w:val="24"/>
        </w:rPr>
        <w:t xml:space="preserve">Wstęp </w:t>
      </w:r>
      <w:r>
        <w:rPr>
          <w:rFonts w:ascii="Times New Roman" w:hAnsi="Times New Roman"/>
          <w:b/>
          <w:bCs/>
          <w:color w:val="000000"/>
          <w:sz w:val="24"/>
          <w:szCs w:val="24"/>
        </w:rPr>
        <w:t>........................................................................................................................2</w:t>
      </w:r>
    </w:p>
    <w:p w:rsidR="00344C35" w:rsidRDefault="00FD32B3">
      <w:pPr>
        <w:suppressAutoHyphens w:val="0"/>
        <w:autoSpaceDE w:val="0"/>
        <w:spacing w:after="0"/>
        <w:textAlignment w:val="auto"/>
      </w:pPr>
      <w:r>
        <w:rPr>
          <w:rFonts w:ascii="Times New Roman" w:hAnsi="Times New Roman"/>
          <w:b/>
          <w:bCs/>
          <w:color w:val="000000"/>
          <w:sz w:val="24"/>
          <w:szCs w:val="24"/>
        </w:rPr>
        <w:t xml:space="preserve">2. </w:t>
      </w:r>
      <w:r>
        <w:rPr>
          <w:rFonts w:ascii="Times New Roman,Bold" w:hAnsi="Times New Roman,Bold" w:cs="Times New Roman,Bold"/>
          <w:b/>
          <w:bCs/>
          <w:color w:val="000000"/>
          <w:sz w:val="24"/>
          <w:szCs w:val="24"/>
        </w:rPr>
        <w:t xml:space="preserve">Założenia do Wieloletniej Prognozy Finansowej </w:t>
      </w:r>
      <w:r>
        <w:rPr>
          <w:rFonts w:ascii="Times New Roman" w:hAnsi="Times New Roman"/>
          <w:b/>
          <w:bCs/>
          <w:color w:val="000000"/>
          <w:sz w:val="24"/>
          <w:szCs w:val="24"/>
        </w:rPr>
        <w:t>..................................................4</w:t>
      </w:r>
    </w:p>
    <w:p w:rsidR="00344C35" w:rsidRDefault="00FD32B3">
      <w:pPr>
        <w:suppressAutoHyphens w:val="0"/>
        <w:autoSpaceDE w:val="0"/>
        <w:spacing w:after="0"/>
        <w:textAlignment w:val="auto"/>
      </w:pPr>
      <w:r>
        <w:rPr>
          <w:rFonts w:ascii="Times New Roman" w:hAnsi="Times New Roman"/>
          <w:color w:val="000000"/>
          <w:sz w:val="24"/>
          <w:szCs w:val="24"/>
        </w:rPr>
        <w:t>2.1. Założenia makroekonomiczne ...........................................................................</w:t>
      </w:r>
      <w:r w:rsidR="007973A8">
        <w:rPr>
          <w:rFonts w:ascii="Times New Roman" w:hAnsi="Times New Roman"/>
          <w:color w:val="000000"/>
          <w:sz w:val="24"/>
          <w:szCs w:val="24"/>
        </w:rPr>
        <w:t>....</w:t>
      </w:r>
      <w:r>
        <w:rPr>
          <w:rFonts w:ascii="Times New Roman" w:hAnsi="Times New Roman"/>
          <w:color w:val="000000"/>
          <w:sz w:val="24"/>
          <w:szCs w:val="24"/>
        </w:rPr>
        <w:t>.4</w:t>
      </w:r>
    </w:p>
    <w:p w:rsidR="00344C35" w:rsidRDefault="00FD32B3">
      <w:pPr>
        <w:suppressAutoHyphens w:val="0"/>
        <w:autoSpaceDE w:val="0"/>
        <w:spacing w:after="0"/>
        <w:textAlignment w:val="auto"/>
      </w:pPr>
      <w:r>
        <w:rPr>
          <w:rFonts w:ascii="Times New Roman" w:hAnsi="Times New Roman"/>
          <w:color w:val="000000"/>
          <w:sz w:val="24"/>
          <w:szCs w:val="24"/>
        </w:rPr>
        <w:t>2.2. Założenia przyjęte do prognozy dochodów budżetu ......................................</w:t>
      </w:r>
      <w:r w:rsidR="007973A8">
        <w:rPr>
          <w:rFonts w:ascii="Times New Roman" w:hAnsi="Times New Roman"/>
          <w:color w:val="000000"/>
          <w:sz w:val="24"/>
          <w:szCs w:val="24"/>
        </w:rPr>
        <w:t>....</w:t>
      </w:r>
      <w:r>
        <w:rPr>
          <w:rFonts w:ascii="Times New Roman" w:hAnsi="Times New Roman"/>
          <w:color w:val="000000"/>
          <w:sz w:val="24"/>
          <w:szCs w:val="24"/>
        </w:rPr>
        <w:t>....5</w:t>
      </w:r>
    </w:p>
    <w:p w:rsidR="00344C35" w:rsidRDefault="00FD32B3">
      <w:pPr>
        <w:suppressAutoHyphens w:val="0"/>
        <w:autoSpaceDE w:val="0"/>
        <w:spacing w:after="0"/>
        <w:textAlignment w:val="auto"/>
      </w:pPr>
      <w:r>
        <w:rPr>
          <w:rFonts w:ascii="Times New Roman" w:hAnsi="Times New Roman"/>
          <w:color w:val="000000"/>
          <w:sz w:val="24"/>
          <w:szCs w:val="24"/>
        </w:rPr>
        <w:t>2.3. Założenia przyjęte do prognozy wydatków budżetu .......................................</w:t>
      </w:r>
      <w:r w:rsidR="007973A8">
        <w:rPr>
          <w:rFonts w:ascii="Times New Roman" w:hAnsi="Times New Roman"/>
          <w:color w:val="000000"/>
          <w:sz w:val="24"/>
          <w:szCs w:val="24"/>
        </w:rPr>
        <w:t>.</w:t>
      </w:r>
      <w:r w:rsidR="00A84169">
        <w:rPr>
          <w:rFonts w:ascii="Times New Roman" w:hAnsi="Times New Roman"/>
          <w:color w:val="000000"/>
          <w:sz w:val="24"/>
          <w:szCs w:val="24"/>
        </w:rPr>
        <w:t>......9</w:t>
      </w:r>
    </w:p>
    <w:p w:rsidR="00344C35" w:rsidRDefault="00FD32B3">
      <w:pPr>
        <w:suppressAutoHyphens w:val="0"/>
        <w:autoSpaceDE w:val="0"/>
        <w:spacing w:after="0"/>
        <w:textAlignment w:val="auto"/>
      </w:pPr>
      <w:r>
        <w:rPr>
          <w:rFonts w:ascii="Times New Roman" w:hAnsi="Times New Roman"/>
          <w:color w:val="000000"/>
          <w:sz w:val="24"/>
          <w:szCs w:val="24"/>
        </w:rPr>
        <w:t>2.4. Przychody i rozchody budżetu jednostki samorządu terytorialnego, z</w:t>
      </w:r>
    </w:p>
    <w:p w:rsidR="00344C35" w:rsidRDefault="00FD32B3">
      <w:pPr>
        <w:pStyle w:val="Bezodstpw"/>
        <w:ind w:left="6372" w:hanging="5946"/>
      </w:pPr>
      <w:r>
        <w:rPr>
          <w:rFonts w:ascii="Times New Roman" w:hAnsi="Times New Roman"/>
          <w:color w:val="000000"/>
          <w:sz w:val="24"/>
          <w:szCs w:val="24"/>
        </w:rPr>
        <w:t>uwzględnieniem długu zaciągniętego oraz planowanego do zaciągnięcia .....</w:t>
      </w:r>
      <w:r w:rsidR="007973A8">
        <w:rPr>
          <w:rFonts w:ascii="Times New Roman" w:hAnsi="Times New Roman"/>
          <w:color w:val="000000"/>
          <w:sz w:val="24"/>
          <w:szCs w:val="24"/>
        </w:rPr>
        <w:t>....</w:t>
      </w:r>
      <w:r>
        <w:rPr>
          <w:rFonts w:ascii="Times New Roman" w:hAnsi="Times New Roman"/>
          <w:color w:val="000000"/>
          <w:sz w:val="24"/>
          <w:szCs w:val="24"/>
        </w:rPr>
        <w:t>..1</w:t>
      </w:r>
      <w:r w:rsidR="00F7214C">
        <w:rPr>
          <w:rFonts w:ascii="Times New Roman" w:hAnsi="Times New Roman"/>
          <w:color w:val="000000"/>
          <w:sz w:val="24"/>
          <w:szCs w:val="24"/>
        </w:rPr>
        <w:t>1</w:t>
      </w:r>
      <w:bookmarkStart w:id="0" w:name="_GoBack"/>
      <w:bookmarkEnd w:id="0"/>
    </w:p>
    <w:p w:rsidR="00E3051A" w:rsidRDefault="00E3051A">
      <w:pPr>
        <w:suppressAutoHyphens w:val="0"/>
      </w:pPr>
      <w:r>
        <w:br w:type="page"/>
      </w:r>
    </w:p>
    <w:p w:rsidR="00344C35" w:rsidRDefault="00344C35">
      <w:pPr>
        <w:ind w:left="6372"/>
        <w:jc w:val="right"/>
      </w:pPr>
    </w:p>
    <w:p w:rsidR="00344C35" w:rsidRDefault="00FD32B3">
      <w:pPr>
        <w:pStyle w:val="Akapitzlist"/>
        <w:numPr>
          <w:ilvl w:val="0"/>
          <w:numId w:val="1"/>
        </w:numPr>
        <w:autoSpaceDE w:val="0"/>
        <w:rPr>
          <w:rFonts w:ascii="Times New Roman,Bold" w:hAnsi="Times New Roman,Bold" w:cs="Times New Roman,Bold"/>
          <w:b/>
          <w:bCs/>
          <w:sz w:val="32"/>
          <w:szCs w:val="32"/>
        </w:rPr>
      </w:pPr>
      <w:r>
        <w:rPr>
          <w:rFonts w:ascii="Times New Roman,Bold" w:hAnsi="Times New Roman,Bold" w:cs="Times New Roman,Bold"/>
          <w:b/>
          <w:bCs/>
          <w:sz w:val="32"/>
          <w:szCs w:val="32"/>
        </w:rPr>
        <w:t>Wstęp</w:t>
      </w:r>
    </w:p>
    <w:p w:rsidR="00344C35" w:rsidRDefault="00FD32B3" w:rsidP="001F425E">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color w:val="000000"/>
          <w:sz w:val="24"/>
          <w:szCs w:val="24"/>
        </w:rPr>
        <w:t>Zgodnie z art. 226-231 ustawy z dnia 27 sierpnia 2009 r. o finansach publicznych</w:t>
      </w:r>
      <w:r w:rsidR="001F425E">
        <w:rPr>
          <w:rFonts w:ascii="Times New Roman" w:hAnsi="Times New Roman"/>
          <w:color w:val="000000"/>
          <w:sz w:val="24"/>
          <w:szCs w:val="24"/>
        </w:rPr>
        <w:t xml:space="preserve"> </w:t>
      </w:r>
      <w:r>
        <w:rPr>
          <w:rFonts w:ascii="Times New Roman" w:hAnsi="Times New Roman"/>
          <w:color w:val="000000"/>
          <w:sz w:val="24"/>
          <w:szCs w:val="24"/>
        </w:rPr>
        <w:t>jednostki samorządu terytorialnego są zobowiązane do przygotowania wieloletniej prognozy</w:t>
      </w:r>
      <w:r w:rsidR="001F425E">
        <w:rPr>
          <w:rFonts w:ascii="Times New Roman" w:hAnsi="Times New Roman"/>
          <w:color w:val="000000"/>
          <w:sz w:val="24"/>
          <w:szCs w:val="24"/>
        </w:rPr>
        <w:t xml:space="preserve"> </w:t>
      </w:r>
      <w:r>
        <w:rPr>
          <w:rFonts w:ascii="Times New Roman" w:hAnsi="Times New Roman"/>
          <w:color w:val="000000"/>
          <w:sz w:val="24"/>
          <w:szCs w:val="24"/>
        </w:rPr>
        <w:t>finansowej</w:t>
      </w:r>
      <w:r w:rsidR="001F425E">
        <w:rPr>
          <w:rFonts w:ascii="Times New Roman" w:hAnsi="Times New Roman"/>
          <w:color w:val="000000"/>
          <w:sz w:val="24"/>
          <w:szCs w:val="24"/>
        </w:rPr>
        <w:t xml:space="preserve"> (WPF</w:t>
      </w:r>
      <w:r>
        <w:rPr>
          <w:rFonts w:ascii="Times New Roman" w:hAnsi="Times New Roman"/>
          <w:color w:val="000000"/>
          <w:sz w:val="24"/>
          <w:szCs w:val="24"/>
        </w:rPr>
        <w:t>). Prognozę tę opracowuje się w celu przeprowadzenia oceny sytuacji</w:t>
      </w:r>
      <w:r w:rsidR="001F425E">
        <w:rPr>
          <w:rFonts w:ascii="Times New Roman" w:hAnsi="Times New Roman"/>
          <w:color w:val="000000"/>
          <w:sz w:val="24"/>
          <w:szCs w:val="24"/>
        </w:rPr>
        <w:t xml:space="preserve"> </w:t>
      </w:r>
      <w:r>
        <w:rPr>
          <w:rFonts w:ascii="Times New Roman" w:hAnsi="Times New Roman"/>
          <w:color w:val="000000"/>
          <w:sz w:val="24"/>
          <w:szCs w:val="24"/>
        </w:rPr>
        <w:t xml:space="preserve">finansowej jednostki samorządu terytorialnego przez instytucje finansowe, organy nadzoru, </w:t>
      </w:r>
      <w:r w:rsidR="001F425E">
        <w:rPr>
          <w:rFonts w:ascii="Times New Roman" w:hAnsi="Times New Roman"/>
          <w:color w:val="000000"/>
          <w:sz w:val="24"/>
          <w:szCs w:val="24"/>
        </w:rPr>
        <w:br/>
      </w:r>
      <w:r>
        <w:rPr>
          <w:rFonts w:ascii="Times New Roman" w:hAnsi="Times New Roman"/>
          <w:color w:val="000000"/>
          <w:sz w:val="24"/>
          <w:szCs w:val="24"/>
        </w:rPr>
        <w:t>a</w:t>
      </w:r>
      <w:r w:rsidR="001F425E">
        <w:rPr>
          <w:rFonts w:ascii="Times New Roman" w:hAnsi="Times New Roman"/>
          <w:color w:val="000000"/>
          <w:sz w:val="24"/>
          <w:szCs w:val="24"/>
        </w:rPr>
        <w:t xml:space="preserve"> </w:t>
      </w:r>
      <w:r>
        <w:rPr>
          <w:rFonts w:ascii="Times New Roman" w:hAnsi="Times New Roman"/>
          <w:color w:val="000000"/>
          <w:sz w:val="24"/>
          <w:szCs w:val="24"/>
        </w:rPr>
        <w:t>także mieszkańców gminy i inne zainteresowane podmioty. Wieloletnia prognoza finansowa</w:t>
      </w:r>
    </w:p>
    <w:p w:rsidR="00344C35" w:rsidRDefault="00FD32B3" w:rsidP="001F425E">
      <w:pPr>
        <w:suppressAutoHyphens w:val="0"/>
        <w:autoSpaceDE w:val="0"/>
        <w:spacing w:after="0" w:line="276" w:lineRule="auto"/>
        <w:jc w:val="both"/>
        <w:textAlignment w:val="auto"/>
      </w:pPr>
      <w:r>
        <w:rPr>
          <w:rFonts w:ascii="Times New Roman" w:hAnsi="Times New Roman"/>
          <w:color w:val="000000"/>
          <w:sz w:val="24"/>
          <w:szCs w:val="24"/>
        </w:rPr>
        <w:t>umożliwi także dokonanie oceny zdolności kredytowej oraz wskaże możliwości inwestycyjne</w:t>
      </w:r>
    </w:p>
    <w:p w:rsidR="00344C35" w:rsidRPr="00AC4D2C" w:rsidRDefault="00FD32B3" w:rsidP="001F425E">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color w:val="000000"/>
          <w:sz w:val="24"/>
          <w:szCs w:val="24"/>
        </w:rPr>
        <w:t>gminy Rogoźno, w tym skuteczną aplikację środków finansowych z Unii Europejskiej.</w:t>
      </w:r>
      <w:r w:rsidR="00AC4D2C">
        <w:rPr>
          <w:rFonts w:ascii="Times New Roman" w:hAnsi="Times New Roman"/>
          <w:color w:val="000000"/>
          <w:sz w:val="24"/>
          <w:szCs w:val="24"/>
        </w:rPr>
        <w:t xml:space="preserve"> </w:t>
      </w:r>
      <w:r>
        <w:rPr>
          <w:rFonts w:ascii="Times New Roman" w:hAnsi="Times New Roman"/>
          <w:color w:val="000000"/>
          <w:sz w:val="24"/>
          <w:szCs w:val="24"/>
        </w:rPr>
        <w:t>Wieloletnia prognoza finansowa definiująca, z jednej strony możliwości pozyskania</w:t>
      </w:r>
      <w:r w:rsidR="00AC4D2C">
        <w:rPr>
          <w:rFonts w:ascii="Times New Roman" w:hAnsi="Times New Roman"/>
          <w:color w:val="000000"/>
          <w:sz w:val="24"/>
          <w:szCs w:val="24"/>
        </w:rPr>
        <w:t xml:space="preserve"> </w:t>
      </w:r>
      <w:r>
        <w:rPr>
          <w:rFonts w:ascii="Times New Roman" w:hAnsi="Times New Roman"/>
          <w:color w:val="000000"/>
          <w:sz w:val="24"/>
          <w:szCs w:val="24"/>
        </w:rPr>
        <w:t>dochodów, z drugiej - kierunki ich wydatkowania, pozwoli na usystematyzowanie procesu</w:t>
      </w:r>
      <w:r w:rsidR="00AC4D2C">
        <w:rPr>
          <w:rFonts w:ascii="Times New Roman" w:hAnsi="Times New Roman"/>
          <w:color w:val="000000"/>
          <w:sz w:val="24"/>
          <w:szCs w:val="24"/>
        </w:rPr>
        <w:t xml:space="preserve"> </w:t>
      </w:r>
      <w:r>
        <w:rPr>
          <w:rFonts w:ascii="Times New Roman" w:hAnsi="Times New Roman"/>
          <w:color w:val="000000"/>
          <w:sz w:val="24"/>
          <w:szCs w:val="24"/>
        </w:rPr>
        <w:t xml:space="preserve">realizacji inwestycji planowanych w perspektywie do 2018 roku, umożliwi długofalowe </w:t>
      </w:r>
      <w:r w:rsidR="00E86274">
        <w:rPr>
          <w:rFonts w:ascii="Times New Roman" w:hAnsi="Times New Roman"/>
          <w:color w:val="000000"/>
          <w:sz w:val="24"/>
          <w:szCs w:val="24"/>
        </w:rPr>
        <w:br/>
      </w:r>
      <w:r>
        <w:rPr>
          <w:rFonts w:ascii="Times New Roman" w:hAnsi="Times New Roman"/>
          <w:color w:val="000000"/>
          <w:sz w:val="24"/>
          <w:szCs w:val="24"/>
        </w:rPr>
        <w:t>i</w:t>
      </w:r>
      <w:r w:rsidR="00AC4D2C">
        <w:rPr>
          <w:rFonts w:ascii="Times New Roman" w:hAnsi="Times New Roman"/>
          <w:color w:val="000000"/>
          <w:sz w:val="24"/>
          <w:szCs w:val="24"/>
        </w:rPr>
        <w:t xml:space="preserve"> </w:t>
      </w:r>
      <w:r>
        <w:rPr>
          <w:rFonts w:ascii="Times New Roman" w:hAnsi="Times New Roman"/>
          <w:color w:val="000000"/>
          <w:sz w:val="24"/>
          <w:szCs w:val="24"/>
        </w:rPr>
        <w:t>racjonalne zaplanowanie wydatków, umożliwi także rozpoczęcie z odpowiednim</w:t>
      </w:r>
      <w:r w:rsidR="00AC4D2C">
        <w:rPr>
          <w:rFonts w:ascii="Times New Roman" w:hAnsi="Times New Roman"/>
          <w:color w:val="000000"/>
          <w:sz w:val="24"/>
          <w:szCs w:val="24"/>
        </w:rPr>
        <w:t xml:space="preserve"> </w:t>
      </w:r>
      <w:r>
        <w:rPr>
          <w:rFonts w:ascii="Times New Roman" w:hAnsi="Times New Roman"/>
          <w:color w:val="000000"/>
          <w:sz w:val="24"/>
          <w:szCs w:val="24"/>
        </w:rPr>
        <w:t>wyprzedzeniem działań związanych z regulacjami terenowo- prawnymi, uzyskaniem</w:t>
      </w:r>
      <w:r w:rsidR="00AC4D2C">
        <w:rPr>
          <w:rFonts w:ascii="Times New Roman" w:hAnsi="Times New Roman"/>
          <w:color w:val="000000"/>
          <w:sz w:val="24"/>
          <w:szCs w:val="24"/>
        </w:rPr>
        <w:t xml:space="preserve">  </w:t>
      </w:r>
      <w:r>
        <w:rPr>
          <w:rFonts w:ascii="Times New Roman" w:hAnsi="Times New Roman"/>
          <w:color w:val="000000"/>
          <w:sz w:val="24"/>
          <w:szCs w:val="24"/>
        </w:rPr>
        <w:t>wymaganych prawem decyzji oraz pozyskaniem środków fi</w:t>
      </w:r>
      <w:r w:rsidR="001F425E">
        <w:rPr>
          <w:rFonts w:ascii="Times New Roman" w:hAnsi="Times New Roman"/>
          <w:color w:val="000000"/>
          <w:sz w:val="24"/>
          <w:szCs w:val="24"/>
        </w:rPr>
        <w:t xml:space="preserve">nansowych ze źródeł </w:t>
      </w:r>
      <w:r>
        <w:rPr>
          <w:rFonts w:ascii="Times New Roman" w:hAnsi="Times New Roman"/>
          <w:color w:val="000000"/>
          <w:sz w:val="24"/>
          <w:szCs w:val="24"/>
        </w:rPr>
        <w:t>zewnętr</w:t>
      </w:r>
      <w:r w:rsidR="001F425E">
        <w:rPr>
          <w:rFonts w:ascii="Times New Roman" w:hAnsi="Times New Roman"/>
          <w:color w:val="000000"/>
          <w:sz w:val="24"/>
          <w:szCs w:val="24"/>
        </w:rPr>
        <w:t>z</w:t>
      </w:r>
      <w:r>
        <w:rPr>
          <w:rFonts w:ascii="Times New Roman" w:hAnsi="Times New Roman"/>
          <w:color w:val="000000"/>
          <w:sz w:val="24"/>
          <w:szCs w:val="24"/>
        </w:rPr>
        <w:t>nych</w:t>
      </w:r>
      <w:r w:rsidR="001F425E">
        <w:rPr>
          <w:rFonts w:ascii="Times New Roman" w:hAnsi="Times New Roman"/>
          <w:color w:val="000000"/>
          <w:sz w:val="24"/>
          <w:szCs w:val="24"/>
        </w:rPr>
        <w:t>.</w:t>
      </w:r>
    </w:p>
    <w:p w:rsidR="00344C35" w:rsidRDefault="00FD32B3" w:rsidP="001F425E">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color w:val="000000"/>
          <w:sz w:val="24"/>
          <w:szCs w:val="24"/>
        </w:rPr>
        <w:t>W wieloletniej prognozie finansowej uwzględnione zostały zadania:</w:t>
      </w:r>
    </w:p>
    <w:p w:rsidR="00344C35" w:rsidRDefault="00FD32B3" w:rsidP="001F425E">
      <w:pPr>
        <w:suppressAutoHyphens w:val="0"/>
        <w:autoSpaceDE w:val="0"/>
        <w:spacing w:after="0" w:line="276" w:lineRule="auto"/>
        <w:jc w:val="both"/>
        <w:textAlignment w:val="auto"/>
      </w:pPr>
      <w:r>
        <w:rPr>
          <w:rFonts w:ascii="Times New Roman" w:hAnsi="Times New Roman"/>
          <w:color w:val="000000"/>
        </w:rPr>
        <w:t xml:space="preserve">1. </w:t>
      </w:r>
      <w:r>
        <w:rPr>
          <w:rFonts w:ascii="Times New Roman" w:hAnsi="Times New Roman"/>
          <w:color w:val="000000"/>
          <w:sz w:val="24"/>
          <w:szCs w:val="24"/>
        </w:rPr>
        <w:t>własne, wynikające z ustaw ustrojowych,</w:t>
      </w:r>
    </w:p>
    <w:p w:rsidR="00344C35" w:rsidRDefault="00FD32B3" w:rsidP="001F425E">
      <w:pPr>
        <w:suppressAutoHyphens w:val="0"/>
        <w:autoSpaceDE w:val="0"/>
        <w:spacing w:after="0" w:line="276" w:lineRule="auto"/>
        <w:jc w:val="both"/>
        <w:textAlignment w:val="auto"/>
      </w:pPr>
      <w:r>
        <w:rPr>
          <w:rFonts w:ascii="Times New Roman" w:hAnsi="Times New Roman"/>
          <w:color w:val="000000"/>
        </w:rPr>
        <w:t xml:space="preserve">2. </w:t>
      </w:r>
      <w:r>
        <w:rPr>
          <w:rFonts w:ascii="Times New Roman" w:hAnsi="Times New Roman"/>
          <w:color w:val="000000"/>
          <w:sz w:val="24"/>
          <w:szCs w:val="24"/>
        </w:rPr>
        <w:t>z zakresu administracji rządowej i inne zlecone ustawami,</w:t>
      </w:r>
    </w:p>
    <w:p w:rsidR="00344C35" w:rsidRDefault="00FD32B3" w:rsidP="001F425E">
      <w:pPr>
        <w:suppressAutoHyphens w:val="0"/>
        <w:autoSpaceDE w:val="0"/>
        <w:spacing w:after="0" w:line="276" w:lineRule="auto"/>
        <w:jc w:val="both"/>
        <w:textAlignment w:val="auto"/>
      </w:pPr>
      <w:r>
        <w:rPr>
          <w:rFonts w:ascii="Times New Roman" w:hAnsi="Times New Roman"/>
          <w:color w:val="000000"/>
        </w:rPr>
        <w:t xml:space="preserve">3. </w:t>
      </w:r>
      <w:r>
        <w:rPr>
          <w:rFonts w:ascii="Times New Roman" w:hAnsi="Times New Roman"/>
          <w:color w:val="000000"/>
          <w:sz w:val="24"/>
          <w:szCs w:val="24"/>
        </w:rPr>
        <w:t>wykonywane na podstawie porozumień /umów z organami administracji rządowej,</w:t>
      </w:r>
    </w:p>
    <w:p w:rsidR="00344C35" w:rsidRPr="00AC4D2C" w:rsidRDefault="00FD32B3" w:rsidP="001F425E">
      <w:pPr>
        <w:suppressAutoHyphens w:val="0"/>
        <w:autoSpaceDE w:val="0"/>
        <w:spacing w:after="0" w:line="276" w:lineRule="auto"/>
        <w:jc w:val="both"/>
        <w:textAlignment w:val="auto"/>
      </w:pPr>
      <w:r>
        <w:rPr>
          <w:rFonts w:ascii="Times New Roman" w:hAnsi="Times New Roman"/>
          <w:color w:val="000000"/>
        </w:rPr>
        <w:t xml:space="preserve">4. </w:t>
      </w:r>
      <w:r>
        <w:rPr>
          <w:rFonts w:ascii="Times New Roman" w:hAnsi="Times New Roman"/>
          <w:color w:val="000000"/>
          <w:sz w:val="24"/>
          <w:szCs w:val="24"/>
        </w:rPr>
        <w:t>realizowane na podstawie porozumień /umów z innymi jednostkami samorządu</w:t>
      </w:r>
      <w:r w:rsidR="00AC4D2C">
        <w:t xml:space="preserve"> </w:t>
      </w:r>
      <w:r>
        <w:rPr>
          <w:rFonts w:ascii="Times New Roman" w:hAnsi="Times New Roman"/>
          <w:color w:val="000000"/>
          <w:sz w:val="24"/>
          <w:szCs w:val="24"/>
        </w:rPr>
        <w:t>terytorialnego,</w:t>
      </w:r>
    </w:p>
    <w:p w:rsidR="00344C35" w:rsidRPr="00AC4D2C" w:rsidRDefault="00FD32B3" w:rsidP="00AC4D2C">
      <w:pPr>
        <w:suppressAutoHyphens w:val="0"/>
        <w:autoSpaceDE w:val="0"/>
        <w:spacing w:after="0" w:line="276" w:lineRule="auto"/>
        <w:jc w:val="both"/>
        <w:textAlignment w:val="auto"/>
      </w:pPr>
      <w:r>
        <w:rPr>
          <w:rFonts w:ascii="Times New Roman" w:hAnsi="Times New Roman"/>
          <w:color w:val="000000"/>
        </w:rPr>
        <w:t xml:space="preserve">5. </w:t>
      </w:r>
      <w:r>
        <w:rPr>
          <w:rFonts w:ascii="Times New Roman" w:hAnsi="Times New Roman"/>
          <w:color w:val="000000"/>
          <w:sz w:val="24"/>
          <w:szCs w:val="24"/>
        </w:rPr>
        <w:t>realizowane na podstawie porozumień/ umów z innymi jednostkami w ramach</w:t>
      </w:r>
      <w:r w:rsidR="00AC4D2C">
        <w:t xml:space="preserve"> </w:t>
      </w:r>
      <w:r>
        <w:rPr>
          <w:rFonts w:ascii="Times New Roman" w:hAnsi="Times New Roman"/>
          <w:color w:val="000000"/>
          <w:sz w:val="24"/>
          <w:szCs w:val="24"/>
        </w:rPr>
        <w:t>dozwolonych przepisami prawa krajowego i unijnego.</w:t>
      </w:r>
    </w:p>
    <w:p w:rsidR="00344C35" w:rsidRDefault="00FD32B3" w:rsidP="001F425E">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Wielkości budżetowe na zadania przewidziane do finansowania w latach 2015-2025 zostały</w:t>
      </w:r>
      <w:r w:rsidR="00AC4D2C">
        <w:rPr>
          <w:rFonts w:ascii="Times New Roman" w:hAnsi="Times New Roman"/>
          <w:sz w:val="24"/>
          <w:szCs w:val="24"/>
        </w:rPr>
        <w:t xml:space="preserve"> </w:t>
      </w:r>
      <w:r>
        <w:rPr>
          <w:rFonts w:ascii="Times New Roman" w:hAnsi="Times New Roman"/>
          <w:sz w:val="24"/>
          <w:szCs w:val="24"/>
        </w:rPr>
        <w:t>wyszacowane w oparciu o:</w:t>
      </w:r>
    </w:p>
    <w:p w:rsidR="00344C35" w:rsidRDefault="00FD32B3" w:rsidP="001F425E">
      <w:pPr>
        <w:suppressAutoHyphens w:val="0"/>
        <w:autoSpaceDE w:val="0"/>
        <w:spacing w:after="0" w:line="276" w:lineRule="auto"/>
        <w:jc w:val="both"/>
        <w:textAlignment w:val="auto"/>
      </w:pPr>
      <w:r>
        <w:rPr>
          <w:rFonts w:ascii="Times New Roman" w:hAnsi="Times New Roman"/>
        </w:rPr>
        <w:t xml:space="preserve">1. </w:t>
      </w:r>
      <w:r>
        <w:rPr>
          <w:rFonts w:ascii="Times New Roman" w:hAnsi="Times New Roman"/>
          <w:sz w:val="24"/>
          <w:szCs w:val="24"/>
        </w:rPr>
        <w:t>Przepisy prawa zewnętrznego ( ustawy i rozporządzenia ), a w szczególności ustawy:</w:t>
      </w:r>
    </w:p>
    <w:p w:rsidR="00344C35" w:rsidRDefault="00FD32B3" w:rsidP="001F425E">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a) z dnia 8 marca 1990 r. o samorządzie gminnym,</w:t>
      </w:r>
    </w:p>
    <w:p w:rsidR="00344C35" w:rsidRDefault="00FD32B3" w:rsidP="001F425E">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b) z dnia 27 sierpnia 2009 r. o finansach publicznych ,</w:t>
      </w:r>
    </w:p>
    <w:p w:rsidR="00344C35" w:rsidRDefault="00FD32B3" w:rsidP="001F425E">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c) z dnia 13 listopada 2003 r. o dochodach jednostek samorządu terytorialnego.</w:t>
      </w:r>
    </w:p>
    <w:p w:rsidR="00344C35" w:rsidRDefault="00FD32B3" w:rsidP="001F425E">
      <w:pPr>
        <w:suppressAutoHyphens w:val="0"/>
        <w:autoSpaceDE w:val="0"/>
        <w:spacing w:after="0" w:line="276" w:lineRule="auto"/>
        <w:jc w:val="both"/>
        <w:textAlignment w:val="auto"/>
      </w:pPr>
      <w:r>
        <w:rPr>
          <w:rFonts w:ascii="Times New Roman" w:hAnsi="Times New Roman"/>
        </w:rPr>
        <w:t xml:space="preserve">2. </w:t>
      </w:r>
      <w:r>
        <w:rPr>
          <w:rFonts w:ascii="Times New Roman" w:hAnsi="Times New Roman"/>
          <w:sz w:val="24"/>
          <w:szCs w:val="24"/>
        </w:rPr>
        <w:t>Przepisy prawa wewnętrznego ( uchwały i zarządzenia organów Gminy ),</w:t>
      </w:r>
    </w:p>
    <w:p w:rsidR="00344C35" w:rsidRPr="00AC4D2C" w:rsidRDefault="00FD32B3" w:rsidP="001F425E">
      <w:pPr>
        <w:suppressAutoHyphens w:val="0"/>
        <w:autoSpaceDE w:val="0"/>
        <w:spacing w:after="0" w:line="276" w:lineRule="auto"/>
        <w:jc w:val="both"/>
        <w:textAlignment w:val="auto"/>
      </w:pPr>
      <w:r>
        <w:rPr>
          <w:rFonts w:ascii="Times New Roman" w:hAnsi="Times New Roman"/>
        </w:rPr>
        <w:t xml:space="preserve">3. </w:t>
      </w:r>
      <w:r>
        <w:rPr>
          <w:rFonts w:ascii="Times New Roman" w:hAnsi="Times New Roman"/>
          <w:sz w:val="24"/>
          <w:szCs w:val="24"/>
        </w:rPr>
        <w:t>Informację Ministra Finansów o wielkości subwencji ogólnej oraz przewidywanych</w:t>
      </w:r>
      <w:r w:rsidR="00AC4D2C">
        <w:t xml:space="preserve"> </w:t>
      </w:r>
      <w:r>
        <w:rPr>
          <w:rFonts w:ascii="Times New Roman" w:hAnsi="Times New Roman"/>
          <w:sz w:val="24"/>
          <w:szCs w:val="24"/>
        </w:rPr>
        <w:t>udziałach w podatku dochodowym od osób fizycznych,</w:t>
      </w:r>
    </w:p>
    <w:p w:rsidR="00344C35" w:rsidRPr="00AC4D2C" w:rsidRDefault="00FD32B3" w:rsidP="001F425E">
      <w:pPr>
        <w:suppressAutoHyphens w:val="0"/>
        <w:autoSpaceDE w:val="0"/>
        <w:spacing w:after="0" w:line="276" w:lineRule="auto"/>
        <w:jc w:val="both"/>
        <w:textAlignment w:val="auto"/>
      </w:pPr>
      <w:r>
        <w:rPr>
          <w:rFonts w:ascii="Times New Roman" w:hAnsi="Times New Roman"/>
        </w:rPr>
        <w:t xml:space="preserve">4. </w:t>
      </w:r>
      <w:r>
        <w:rPr>
          <w:rFonts w:ascii="Times New Roman" w:hAnsi="Times New Roman"/>
          <w:sz w:val="24"/>
          <w:szCs w:val="24"/>
        </w:rPr>
        <w:t xml:space="preserve">Informację Wojewody Wielkopolskiego o kwotach dotacji celowych na zadania własne </w:t>
      </w:r>
      <w:r w:rsidR="00E86274">
        <w:rPr>
          <w:rFonts w:ascii="Times New Roman" w:hAnsi="Times New Roman"/>
          <w:sz w:val="24"/>
          <w:szCs w:val="24"/>
        </w:rPr>
        <w:br/>
      </w:r>
      <w:r>
        <w:rPr>
          <w:rFonts w:ascii="Times New Roman" w:hAnsi="Times New Roman"/>
          <w:sz w:val="24"/>
          <w:szCs w:val="24"/>
        </w:rPr>
        <w:t>i</w:t>
      </w:r>
      <w:r w:rsidR="00AC4D2C">
        <w:t xml:space="preserve"> </w:t>
      </w:r>
      <w:r>
        <w:rPr>
          <w:rFonts w:ascii="Times New Roman" w:hAnsi="Times New Roman"/>
          <w:sz w:val="24"/>
          <w:szCs w:val="24"/>
        </w:rPr>
        <w:t>zlecone z zakresu administracji rządowej,</w:t>
      </w:r>
    </w:p>
    <w:p w:rsidR="00344C35" w:rsidRPr="00AC4D2C" w:rsidRDefault="00FD32B3" w:rsidP="001F425E">
      <w:pPr>
        <w:suppressAutoHyphens w:val="0"/>
        <w:autoSpaceDE w:val="0"/>
        <w:spacing w:after="0" w:line="276" w:lineRule="auto"/>
        <w:jc w:val="both"/>
        <w:textAlignment w:val="auto"/>
      </w:pPr>
      <w:r>
        <w:rPr>
          <w:rFonts w:ascii="Times New Roman" w:hAnsi="Times New Roman"/>
        </w:rPr>
        <w:t xml:space="preserve">5. </w:t>
      </w:r>
      <w:r>
        <w:rPr>
          <w:rFonts w:ascii="Times New Roman" w:hAnsi="Times New Roman"/>
          <w:sz w:val="24"/>
          <w:szCs w:val="24"/>
        </w:rPr>
        <w:t>Informację Dyrektora Delegatury Krajowego Biura wyborczego w Pile o kwocie</w:t>
      </w:r>
      <w:r w:rsidR="00AC4D2C">
        <w:t xml:space="preserve"> </w:t>
      </w:r>
      <w:r>
        <w:rPr>
          <w:rFonts w:ascii="Times New Roman" w:hAnsi="Times New Roman"/>
          <w:sz w:val="24"/>
          <w:szCs w:val="24"/>
        </w:rPr>
        <w:t>dotacji celowej na zadania zlecone z zakresu administracji rządowej,</w:t>
      </w:r>
    </w:p>
    <w:p w:rsidR="00344C35" w:rsidRDefault="00FD32B3" w:rsidP="001F425E">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rPr>
        <w:t xml:space="preserve">6. </w:t>
      </w:r>
      <w:r>
        <w:rPr>
          <w:rFonts w:ascii="Times New Roman" w:hAnsi="Times New Roman"/>
          <w:sz w:val="24"/>
          <w:szCs w:val="24"/>
        </w:rPr>
        <w:t xml:space="preserve">Założenia do projektu budżetu państwa oraz Wieloletni Plan Finansowy Państwa </w:t>
      </w:r>
      <w:r w:rsidR="00E86274">
        <w:rPr>
          <w:rFonts w:ascii="Times New Roman" w:hAnsi="Times New Roman"/>
          <w:sz w:val="24"/>
          <w:szCs w:val="24"/>
        </w:rPr>
        <w:br/>
      </w:r>
      <w:r>
        <w:rPr>
          <w:rFonts w:ascii="Times New Roman" w:hAnsi="Times New Roman"/>
          <w:sz w:val="24"/>
          <w:szCs w:val="24"/>
        </w:rPr>
        <w:t>w</w:t>
      </w:r>
      <w:r w:rsidR="00AC4D2C">
        <w:rPr>
          <w:rFonts w:ascii="Times New Roman" w:hAnsi="Times New Roman"/>
          <w:sz w:val="24"/>
          <w:szCs w:val="24"/>
        </w:rPr>
        <w:t xml:space="preserve"> </w:t>
      </w:r>
      <w:r>
        <w:rPr>
          <w:rFonts w:ascii="Times New Roman" w:hAnsi="Times New Roman"/>
          <w:sz w:val="24"/>
          <w:szCs w:val="24"/>
        </w:rPr>
        <w:t>zakresie dotyczącym wskaźników makroekonomicznych i innych danych na lata objęte</w:t>
      </w:r>
      <w:r w:rsidR="00AC4D2C">
        <w:rPr>
          <w:rFonts w:ascii="Times New Roman" w:hAnsi="Times New Roman"/>
          <w:sz w:val="24"/>
          <w:szCs w:val="24"/>
        </w:rPr>
        <w:t xml:space="preserve"> </w:t>
      </w:r>
      <w:r>
        <w:rPr>
          <w:rFonts w:ascii="Times New Roman" w:hAnsi="Times New Roman"/>
          <w:sz w:val="24"/>
          <w:szCs w:val="24"/>
        </w:rPr>
        <w:t>prognozą,</w:t>
      </w:r>
    </w:p>
    <w:p w:rsidR="00344C35" w:rsidRDefault="00FD32B3" w:rsidP="00AC4D2C">
      <w:pPr>
        <w:suppressAutoHyphens w:val="0"/>
        <w:autoSpaceDE w:val="0"/>
        <w:spacing w:after="0" w:line="276" w:lineRule="auto"/>
        <w:jc w:val="both"/>
        <w:textAlignment w:val="auto"/>
      </w:pPr>
      <w:r>
        <w:rPr>
          <w:rFonts w:ascii="Times New Roman" w:hAnsi="Times New Roman"/>
        </w:rPr>
        <w:t xml:space="preserve">7. </w:t>
      </w:r>
      <w:r>
        <w:rPr>
          <w:rFonts w:ascii="Times New Roman" w:hAnsi="Times New Roman"/>
          <w:sz w:val="24"/>
          <w:szCs w:val="24"/>
        </w:rPr>
        <w:t xml:space="preserve">Inne przepisy, opracowania oraz stosowane w praktyce formy przekazu, jeżeli mają </w:t>
      </w:r>
      <w:r w:rsidR="00E86274">
        <w:rPr>
          <w:rFonts w:ascii="Times New Roman" w:hAnsi="Times New Roman"/>
          <w:sz w:val="24"/>
          <w:szCs w:val="24"/>
        </w:rPr>
        <w:br/>
      </w:r>
      <w:r>
        <w:rPr>
          <w:rFonts w:ascii="Times New Roman" w:hAnsi="Times New Roman"/>
          <w:sz w:val="24"/>
          <w:szCs w:val="24"/>
        </w:rPr>
        <w:t>one</w:t>
      </w:r>
      <w:r w:rsidR="00AC4D2C">
        <w:rPr>
          <w:rFonts w:ascii="Times New Roman" w:hAnsi="Times New Roman"/>
          <w:sz w:val="24"/>
          <w:szCs w:val="24"/>
        </w:rPr>
        <w:t xml:space="preserve"> </w:t>
      </w:r>
      <w:r>
        <w:rPr>
          <w:rFonts w:ascii="Times New Roman" w:hAnsi="Times New Roman"/>
          <w:sz w:val="24"/>
          <w:szCs w:val="24"/>
        </w:rPr>
        <w:t>związek z projektowanymi i prognozowanymi wielkościami budżetowymi.</w:t>
      </w:r>
    </w:p>
    <w:p w:rsidR="00344C35" w:rsidRDefault="00FD32B3" w:rsidP="001F425E">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b/>
          <w:bCs/>
          <w:color w:val="000000"/>
          <w:sz w:val="24"/>
          <w:szCs w:val="24"/>
        </w:rPr>
        <w:lastRenderedPageBreak/>
        <w:t xml:space="preserve">Zasada jedności </w:t>
      </w:r>
      <w:r>
        <w:rPr>
          <w:rFonts w:ascii="Times New Roman" w:hAnsi="Times New Roman"/>
          <w:color w:val="000000"/>
          <w:sz w:val="24"/>
          <w:szCs w:val="24"/>
        </w:rPr>
        <w:t>polega na tym, że w wieloletniej prognozie finansowej ujęte zostały</w:t>
      </w:r>
      <w:r w:rsidR="00AC4D2C">
        <w:rPr>
          <w:rFonts w:ascii="Times New Roman" w:hAnsi="Times New Roman"/>
          <w:color w:val="000000"/>
          <w:sz w:val="24"/>
          <w:szCs w:val="24"/>
        </w:rPr>
        <w:t xml:space="preserve"> </w:t>
      </w:r>
      <w:r>
        <w:rPr>
          <w:rFonts w:ascii="Times New Roman" w:hAnsi="Times New Roman"/>
          <w:color w:val="000000"/>
          <w:sz w:val="24"/>
          <w:szCs w:val="24"/>
        </w:rPr>
        <w:t>wszystkie dochody i wydatki podmiotów publicznych, finansowanych z budżetu i objętych</w:t>
      </w:r>
      <w:r w:rsidR="00AC4D2C">
        <w:rPr>
          <w:rFonts w:ascii="Times New Roman" w:hAnsi="Times New Roman"/>
          <w:color w:val="000000"/>
          <w:sz w:val="24"/>
          <w:szCs w:val="24"/>
        </w:rPr>
        <w:t xml:space="preserve"> </w:t>
      </w:r>
      <w:r>
        <w:rPr>
          <w:rFonts w:ascii="Times New Roman" w:hAnsi="Times New Roman"/>
          <w:color w:val="000000"/>
          <w:sz w:val="24"/>
          <w:szCs w:val="24"/>
        </w:rPr>
        <w:t>budżetem,</w:t>
      </w:r>
    </w:p>
    <w:p w:rsidR="00344C35" w:rsidRDefault="00FD32B3" w:rsidP="00AC4D2C">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b/>
          <w:bCs/>
          <w:color w:val="000000"/>
          <w:sz w:val="24"/>
          <w:szCs w:val="24"/>
        </w:rPr>
        <w:t xml:space="preserve">Zasada równowagi </w:t>
      </w:r>
      <w:r>
        <w:rPr>
          <w:rFonts w:ascii="Times New Roman" w:hAnsi="Times New Roman"/>
          <w:color w:val="000000"/>
          <w:sz w:val="24"/>
          <w:szCs w:val="24"/>
        </w:rPr>
        <w:t>polega na tym, że w przypadku występowania deficytu, konieczne jest</w:t>
      </w:r>
      <w:r w:rsidR="00AC4D2C">
        <w:rPr>
          <w:rFonts w:ascii="Times New Roman" w:hAnsi="Times New Roman"/>
          <w:color w:val="000000"/>
          <w:sz w:val="24"/>
          <w:szCs w:val="24"/>
        </w:rPr>
        <w:t xml:space="preserve"> </w:t>
      </w:r>
      <w:r>
        <w:rPr>
          <w:rFonts w:ascii="Times New Roman" w:hAnsi="Times New Roman"/>
          <w:color w:val="000000"/>
          <w:sz w:val="24"/>
          <w:szCs w:val="24"/>
        </w:rPr>
        <w:t>Wskazanie źródeł jego pokrycia, natomiast w przypadku nadwyżki budżetowej – wskazanie</w:t>
      </w:r>
      <w:r w:rsidR="00AC4D2C">
        <w:rPr>
          <w:rFonts w:ascii="Times New Roman" w:hAnsi="Times New Roman"/>
          <w:color w:val="000000"/>
          <w:sz w:val="24"/>
          <w:szCs w:val="24"/>
        </w:rPr>
        <w:t xml:space="preserve"> </w:t>
      </w:r>
      <w:r>
        <w:rPr>
          <w:rFonts w:ascii="Times New Roman" w:hAnsi="Times New Roman"/>
          <w:color w:val="000000"/>
          <w:sz w:val="24"/>
          <w:szCs w:val="24"/>
        </w:rPr>
        <w:t>jej przeznaczenia,</w:t>
      </w:r>
    </w:p>
    <w:p w:rsidR="00344C35" w:rsidRDefault="00FD32B3" w:rsidP="001F425E">
      <w:pPr>
        <w:suppressAutoHyphens w:val="0"/>
        <w:autoSpaceDE w:val="0"/>
        <w:spacing w:after="0" w:line="276" w:lineRule="auto"/>
        <w:jc w:val="both"/>
        <w:textAlignment w:val="auto"/>
        <w:rPr>
          <w:rFonts w:ascii="Times New Roman" w:hAnsi="Times New Roman"/>
          <w:color w:val="000000"/>
          <w:sz w:val="24"/>
          <w:szCs w:val="24"/>
        </w:rPr>
      </w:pPr>
      <w:r>
        <w:rPr>
          <w:rFonts w:ascii="Times New Roman" w:hAnsi="Times New Roman"/>
          <w:b/>
          <w:bCs/>
          <w:color w:val="000000"/>
          <w:sz w:val="24"/>
          <w:szCs w:val="24"/>
        </w:rPr>
        <w:t xml:space="preserve">Zasada zupełności i szczegółowości – </w:t>
      </w:r>
      <w:r>
        <w:rPr>
          <w:rFonts w:ascii="Times New Roman" w:hAnsi="Times New Roman"/>
          <w:color w:val="000000"/>
          <w:sz w:val="24"/>
          <w:szCs w:val="24"/>
        </w:rPr>
        <w:t>w wieloletniej prognozie finansowej ujęte zostały</w:t>
      </w:r>
      <w:r w:rsidR="00AC4D2C">
        <w:rPr>
          <w:rFonts w:ascii="Times New Roman" w:hAnsi="Times New Roman"/>
          <w:color w:val="000000"/>
          <w:sz w:val="24"/>
          <w:szCs w:val="24"/>
        </w:rPr>
        <w:t xml:space="preserve"> </w:t>
      </w:r>
      <w:r>
        <w:rPr>
          <w:rFonts w:ascii="Times New Roman" w:hAnsi="Times New Roman"/>
          <w:color w:val="000000"/>
          <w:sz w:val="24"/>
          <w:szCs w:val="24"/>
        </w:rPr>
        <w:t xml:space="preserve">wszystkie dochody i wydatki oraz przychody i rozchody w pełnych kwotach, </w:t>
      </w:r>
      <w:r w:rsidR="00E86274">
        <w:rPr>
          <w:rFonts w:ascii="Times New Roman" w:hAnsi="Times New Roman"/>
          <w:color w:val="000000"/>
          <w:sz w:val="24"/>
          <w:szCs w:val="24"/>
        </w:rPr>
        <w:br/>
      </w:r>
      <w:r>
        <w:rPr>
          <w:rFonts w:ascii="Times New Roman" w:hAnsi="Times New Roman"/>
          <w:color w:val="000000"/>
          <w:sz w:val="24"/>
          <w:szCs w:val="24"/>
        </w:rPr>
        <w:t>ze</w:t>
      </w:r>
      <w:r w:rsidR="00AC4D2C">
        <w:rPr>
          <w:rFonts w:ascii="Times New Roman" w:hAnsi="Times New Roman"/>
          <w:color w:val="000000"/>
          <w:sz w:val="24"/>
          <w:szCs w:val="24"/>
        </w:rPr>
        <w:t xml:space="preserve"> </w:t>
      </w:r>
      <w:r>
        <w:rPr>
          <w:rFonts w:ascii="Times New Roman" w:hAnsi="Times New Roman"/>
          <w:color w:val="000000"/>
          <w:sz w:val="24"/>
          <w:szCs w:val="24"/>
        </w:rPr>
        <w:t>szczegółowością wynikającą z przepisów prawa,</w:t>
      </w:r>
    </w:p>
    <w:p w:rsidR="00344C35" w:rsidRDefault="00FD32B3" w:rsidP="00AC4D2C">
      <w:pPr>
        <w:suppressAutoHyphens w:val="0"/>
        <w:autoSpaceDE w:val="0"/>
        <w:spacing w:after="0" w:line="276" w:lineRule="auto"/>
        <w:jc w:val="both"/>
        <w:textAlignment w:val="auto"/>
      </w:pPr>
      <w:r>
        <w:rPr>
          <w:rFonts w:ascii="Times New Roman" w:hAnsi="Times New Roman"/>
          <w:b/>
          <w:bCs/>
          <w:color w:val="000000"/>
          <w:sz w:val="24"/>
          <w:szCs w:val="24"/>
        </w:rPr>
        <w:t xml:space="preserve">Zasada realności </w:t>
      </w:r>
      <w:r>
        <w:rPr>
          <w:rFonts w:ascii="Times New Roman" w:hAnsi="Times New Roman"/>
          <w:color w:val="000000"/>
          <w:sz w:val="24"/>
          <w:szCs w:val="24"/>
        </w:rPr>
        <w:t xml:space="preserve">to oparcie wieloletniej prognozy finansowej na pełnych, realnych </w:t>
      </w:r>
      <w:r w:rsidR="00E86274">
        <w:rPr>
          <w:rFonts w:ascii="Times New Roman" w:hAnsi="Times New Roman"/>
          <w:color w:val="000000"/>
          <w:sz w:val="24"/>
          <w:szCs w:val="24"/>
        </w:rPr>
        <w:br/>
      </w:r>
      <w:r>
        <w:rPr>
          <w:rFonts w:ascii="Times New Roman" w:hAnsi="Times New Roman"/>
          <w:color w:val="000000"/>
          <w:sz w:val="24"/>
          <w:szCs w:val="24"/>
        </w:rPr>
        <w:t>i</w:t>
      </w:r>
      <w:r w:rsidR="00AC4D2C">
        <w:rPr>
          <w:rFonts w:ascii="Times New Roman" w:hAnsi="Times New Roman"/>
          <w:color w:val="000000"/>
          <w:sz w:val="24"/>
          <w:szCs w:val="24"/>
        </w:rPr>
        <w:t xml:space="preserve"> </w:t>
      </w:r>
      <w:r>
        <w:rPr>
          <w:rFonts w:ascii="Times New Roman" w:hAnsi="Times New Roman"/>
          <w:color w:val="000000"/>
          <w:sz w:val="24"/>
          <w:szCs w:val="24"/>
        </w:rPr>
        <w:t>wyczerpujących przesłankach o charakterze ekonomicznym.</w:t>
      </w:r>
    </w:p>
    <w:p w:rsidR="00344C35" w:rsidRDefault="00344C35" w:rsidP="001F425E">
      <w:pPr>
        <w:suppressAutoHyphens w:val="0"/>
        <w:spacing w:after="0" w:line="276" w:lineRule="auto"/>
        <w:jc w:val="both"/>
        <w:textAlignment w:val="auto"/>
        <w:rPr>
          <w:rFonts w:ascii="Times New Roman" w:eastAsia="Times New Roman" w:hAnsi="Times New Roman"/>
          <w:sz w:val="24"/>
          <w:szCs w:val="24"/>
          <w:lang w:eastAsia="pl-PL"/>
        </w:rPr>
      </w:pPr>
    </w:p>
    <w:p w:rsidR="00344C35" w:rsidRDefault="00FD32B3" w:rsidP="001F425E">
      <w:pPr>
        <w:suppressAutoHyphens w:val="0"/>
        <w:spacing w:after="0" w:line="276" w:lineRule="auto"/>
        <w:ind w:firstLine="708"/>
        <w:jc w:val="both"/>
        <w:textAlignment w:val="auto"/>
      </w:pPr>
      <w:r>
        <w:rPr>
          <w:rFonts w:ascii="Times New Roman" w:eastAsia="Times New Roman" w:hAnsi="Times New Roman"/>
          <w:sz w:val="24"/>
          <w:szCs w:val="24"/>
          <w:lang w:eastAsia="pl-PL"/>
        </w:rPr>
        <w:t>Prezentowany projekt Wieloletniej Prognozy Finansowej jest zgodny z projektem</w:t>
      </w:r>
      <w:r w:rsidR="00AC4D2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budżetu 2015 oraz prognozą budżetową na lata następne. WPF jest sporządzana na okres roku budżetowego oraz co najmniej trzech kolejnych lat. </w:t>
      </w:r>
    </w:p>
    <w:p w:rsidR="00344C35" w:rsidRDefault="00344C35" w:rsidP="001F425E">
      <w:pPr>
        <w:suppressAutoHyphens w:val="0"/>
        <w:spacing w:after="0" w:line="276" w:lineRule="auto"/>
        <w:ind w:firstLine="708"/>
        <w:jc w:val="both"/>
        <w:textAlignment w:val="auto"/>
        <w:rPr>
          <w:rFonts w:ascii="Times New Roman" w:eastAsia="Times New Roman" w:hAnsi="Times New Roman"/>
          <w:sz w:val="24"/>
          <w:szCs w:val="24"/>
          <w:lang w:eastAsia="pl-PL"/>
        </w:rPr>
      </w:pPr>
    </w:p>
    <w:p w:rsidR="00344C35" w:rsidRDefault="00FD32B3" w:rsidP="001F425E">
      <w:pPr>
        <w:suppressAutoHyphens w:val="0"/>
        <w:spacing w:after="0" w:line="276" w:lineRule="auto"/>
        <w:jc w:val="both"/>
        <w:textAlignment w:val="auto"/>
      </w:pPr>
      <w:r>
        <w:rPr>
          <w:rFonts w:ascii="Times New Roman" w:eastAsia="Times New Roman" w:hAnsi="Times New Roman"/>
          <w:sz w:val="24"/>
          <w:szCs w:val="24"/>
          <w:lang w:eastAsia="pl-PL"/>
        </w:rPr>
        <w:t>Część obowiązująca projektu WPF spełnia wymogi ustawy o finansach publicznych. Wieloletnia Prognoza Finansowa Gminy Rogoźno na lata 2015 – 2025 stanowi załącznik Nr 1 do uchwały w sprawie uchwalenia Wieloletniej Prognozy Finansowej Gminy Rogoźno na lata 2015-2025.</w:t>
      </w:r>
    </w:p>
    <w:p w:rsidR="00344C35" w:rsidRDefault="00344C35" w:rsidP="001F425E">
      <w:pPr>
        <w:suppressAutoHyphens w:val="0"/>
        <w:spacing w:after="0" w:line="276" w:lineRule="auto"/>
        <w:jc w:val="both"/>
        <w:textAlignment w:val="auto"/>
        <w:rPr>
          <w:rFonts w:ascii="Times New Roman" w:eastAsia="Times New Roman" w:hAnsi="Times New Roman"/>
          <w:sz w:val="24"/>
          <w:szCs w:val="24"/>
          <w:lang w:eastAsia="pl-PL"/>
        </w:rPr>
      </w:pPr>
    </w:p>
    <w:p w:rsidR="00344C35" w:rsidRDefault="00FD32B3" w:rsidP="001F425E">
      <w:pPr>
        <w:autoSpaceDE w:val="0"/>
        <w:jc w:val="both"/>
        <w:rPr>
          <w:rFonts w:ascii="Times New Roman" w:hAnsi="Times New Roman"/>
          <w:sz w:val="24"/>
          <w:szCs w:val="24"/>
        </w:rPr>
      </w:pPr>
      <w:r>
        <w:rPr>
          <w:rFonts w:ascii="Times New Roman" w:hAnsi="Times New Roman"/>
          <w:sz w:val="24"/>
          <w:szCs w:val="24"/>
        </w:rPr>
        <w:t>W „Objaśnieniach do Wieloletniej Prognozy Finansowej Gminy Rogoźno na lata 2015-2025”</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prezentowane są założenia do prognozy, objaśnienia przyjętych wartości zarówno po</w:t>
      </w:r>
      <w:r w:rsidR="00AC4D2C">
        <w:rPr>
          <w:rFonts w:ascii="Times New Roman" w:hAnsi="Times New Roman"/>
          <w:sz w:val="24"/>
          <w:szCs w:val="24"/>
        </w:rPr>
        <w:t xml:space="preserve"> </w:t>
      </w:r>
      <w:r>
        <w:rPr>
          <w:rFonts w:ascii="Times New Roman" w:hAnsi="Times New Roman"/>
          <w:sz w:val="24"/>
          <w:szCs w:val="24"/>
        </w:rPr>
        <w:t>stronie dochodów jak i wydatków, przychody i rozchody budżetu jednostki samorządu</w:t>
      </w:r>
      <w:r w:rsidR="00AC4D2C">
        <w:rPr>
          <w:rFonts w:ascii="Times New Roman" w:hAnsi="Times New Roman"/>
          <w:sz w:val="24"/>
          <w:szCs w:val="24"/>
        </w:rPr>
        <w:t xml:space="preserve"> </w:t>
      </w:r>
      <w:r>
        <w:rPr>
          <w:rFonts w:ascii="Times New Roman" w:hAnsi="Times New Roman"/>
          <w:sz w:val="24"/>
          <w:szCs w:val="24"/>
        </w:rPr>
        <w:t>terytorialnego, z uwzględnieniem długu zaciągniętego oraz planowanego do zaciągnięcia.</w:t>
      </w:r>
    </w:p>
    <w:p w:rsidR="00344C35" w:rsidRDefault="00344C35" w:rsidP="001F425E">
      <w:pPr>
        <w:autoSpaceDE w:val="0"/>
        <w:jc w:val="both"/>
        <w:rPr>
          <w:rFonts w:ascii="Times New Roman" w:hAnsi="Times New Roman"/>
          <w:sz w:val="24"/>
          <w:szCs w:val="24"/>
        </w:rPr>
      </w:pPr>
    </w:p>
    <w:p w:rsidR="00344C35" w:rsidRDefault="00FD32B3" w:rsidP="001F425E">
      <w:pPr>
        <w:autoSpaceDE w:val="0"/>
        <w:jc w:val="both"/>
        <w:rPr>
          <w:rFonts w:ascii="Times New Roman" w:hAnsi="Times New Roman"/>
          <w:sz w:val="24"/>
          <w:szCs w:val="24"/>
        </w:rPr>
      </w:pPr>
      <w:r>
        <w:rPr>
          <w:rFonts w:ascii="Times New Roman" w:hAnsi="Times New Roman"/>
          <w:sz w:val="24"/>
          <w:szCs w:val="24"/>
        </w:rPr>
        <w:t>Dochody bieżące i wydatki bieżące zostały pogrupowane. W związku z tym wyróżniono następujące grupy dochodów:</w:t>
      </w:r>
    </w:p>
    <w:p w:rsidR="00344C35" w:rsidRDefault="00344C35" w:rsidP="001F425E">
      <w:pPr>
        <w:autoSpaceDE w:val="0"/>
        <w:jc w:val="both"/>
        <w:rPr>
          <w:rFonts w:ascii="Times New Roman" w:hAnsi="Times New Roman"/>
          <w:sz w:val="24"/>
          <w:szCs w:val="24"/>
        </w:rPr>
      </w:pPr>
    </w:p>
    <w:p w:rsidR="00344C35" w:rsidRDefault="00FD32B3" w:rsidP="001F425E">
      <w:pPr>
        <w:autoSpaceDE w:val="0"/>
        <w:jc w:val="both"/>
        <w:rPr>
          <w:rFonts w:ascii="Times New Roman" w:hAnsi="Times New Roman"/>
          <w:sz w:val="24"/>
          <w:szCs w:val="24"/>
        </w:rPr>
      </w:pPr>
      <w:r>
        <w:rPr>
          <w:rFonts w:ascii="Times New Roman" w:hAnsi="Times New Roman"/>
          <w:sz w:val="24"/>
          <w:szCs w:val="24"/>
        </w:rPr>
        <w:t>1. Podatki i opłaty lokalne,</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2. Udział Gminy we wpływach z podatku dochodowego od osób fizycznych i</w:t>
      </w:r>
      <w:r w:rsidR="00AC4D2C">
        <w:rPr>
          <w:rFonts w:ascii="Times New Roman" w:hAnsi="Times New Roman"/>
          <w:sz w:val="24"/>
          <w:szCs w:val="24"/>
        </w:rPr>
        <w:t xml:space="preserve"> </w:t>
      </w:r>
      <w:r>
        <w:rPr>
          <w:rFonts w:ascii="Times New Roman" w:hAnsi="Times New Roman"/>
          <w:sz w:val="24"/>
          <w:szCs w:val="24"/>
        </w:rPr>
        <w:t>prawnych (PIT, CIT),</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3. Wpływy z podatków pobieranych przez urzędy skarbowe na rzecz Gminy,</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4. Subwencja ogólna z budżetu państwa,</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5. Dotacje celowe z budżetu państwa na zadania własne, zlecone,</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6. Dotacje i środki, o których mowa w art.5 ust.1 pkt.2 i 3 ustawy o finansach</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publicznych,</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7. Pozostałe dochody.</w:t>
      </w:r>
    </w:p>
    <w:p w:rsidR="00344C35" w:rsidRDefault="00FD32B3" w:rsidP="00AC4D2C">
      <w:pPr>
        <w:autoSpaceDE w:val="0"/>
        <w:jc w:val="both"/>
        <w:rPr>
          <w:rFonts w:ascii="Times New Roman" w:hAnsi="Times New Roman"/>
          <w:sz w:val="24"/>
          <w:szCs w:val="24"/>
        </w:rPr>
      </w:pPr>
      <w:r>
        <w:rPr>
          <w:rFonts w:ascii="Times New Roman" w:hAnsi="Times New Roman"/>
          <w:sz w:val="24"/>
          <w:szCs w:val="24"/>
        </w:rPr>
        <w:t>Przyjęte założenia co do kształtowania się poszczególnych grup dochodów oraz źródeł</w:t>
      </w:r>
      <w:r w:rsidR="00AC4D2C">
        <w:rPr>
          <w:rFonts w:ascii="Times New Roman" w:hAnsi="Times New Roman"/>
          <w:sz w:val="24"/>
          <w:szCs w:val="24"/>
        </w:rPr>
        <w:t xml:space="preserve"> </w:t>
      </w:r>
      <w:r>
        <w:rPr>
          <w:rFonts w:ascii="Times New Roman" w:hAnsi="Times New Roman"/>
          <w:sz w:val="24"/>
          <w:szCs w:val="24"/>
        </w:rPr>
        <w:t>dochodów zostaną przedstawione w dalszej części.</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W wydatkach zostały omówione wydatki bieżące i majątkowe.</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Ponadto w wydatkach bieżących wyodrębniono:</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lastRenderedPageBreak/>
        <w:t>1. wynagrodzenia i składki od nich naliczane,</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2. wydatki związane z funkcjonowaniem organów jednostki samorządu</w:t>
      </w:r>
      <w:r w:rsidR="00AC4D2C">
        <w:rPr>
          <w:rFonts w:ascii="Times New Roman" w:hAnsi="Times New Roman"/>
          <w:sz w:val="24"/>
          <w:szCs w:val="24"/>
        </w:rPr>
        <w:t xml:space="preserve"> </w:t>
      </w:r>
      <w:r>
        <w:rPr>
          <w:rFonts w:ascii="Times New Roman" w:hAnsi="Times New Roman"/>
          <w:sz w:val="24"/>
          <w:szCs w:val="24"/>
        </w:rPr>
        <w:t>terytorialnego.</w:t>
      </w:r>
      <w:r w:rsidR="00AC4D2C">
        <w:rPr>
          <w:rFonts w:ascii="Times New Roman" w:hAnsi="Times New Roman"/>
          <w:sz w:val="24"/>
          <w:szCs w:val="24"/>
        </w:rPr>
        <w:t xml:space="preserve"> </w:t>
      </w:r>
    </w:p>
    <w:p w:rsidR="00344C35" w:rsidRDefault="00FD32B3" w:rsidP="001F425E">
      <w:pPr>
        <w:autoSpaceDE w:val="0"/>
        <w:jc w:val="both"/>
        <w:rPr>
          <w:rFonts w:ascii="Times New Roman" w:hAnsi="Times New Roman"/>
          <w:sz w:val="24"/>
          <w:szCs w:val="24"/>
        </w:rPr>
      </w:pPr>
      <w:r>
        <w:rPr>
          <w:rFonts w:ascii="Times New Roman" w:hAnsi="Times New Roman"/>
          <w:sz w:val="24"/>
          <w:szCs w:val="24"/>
        </w:rPr>
        <w:t>W zakresie dochodów majątkowych przyjęto wielkości dochodów ze sprzedaży mienia</w:t>
      </w:r>
      <w:r w:rsidR="00AC4D2C">
        <w:rPr>
          <w:rFonts w:ascii="Times New Roman" w:hAnsi="Times New Roman"/>
          <w:sz w:val="24"/>
          <w:szCs w:val="24"/>
        </w:rPr>
        <w:t xml:space="preserve"> </w:t>
      </w:r>
      <w:r>
        <w:rPr>
          <w:rFonts w:ascii="Times New Roman" w:hAnsi="Times New Roman"/>
          <w:sz w:val="24"/>
          <w:szCs w:val="24"/>
        </w:rPr>
        <w:t>uwzględniające istniejący zasób majątku Gminy.</w:t>
      </w:r>
    </w:p>
    <w:p w:rsidR="00344C35" w:rsidRDefault="00FD32B3" w:rsidP="00AC4D2C">
      <w:pPr>
        <w:autoSpaceDE w:val="0"/>
        <w:jc w:val="both"/>
      </w:pPr>
      <w:r>
        <w:rPr>
          <w:rFonts w:ascii="Times New Roman" w:hAnsi="Times New Roman"/>
          <w:sz w:val="24"/>
          <w:szCs w:val="24"/>
        </w:rPr>
        <w:t>Przyjęto horyzont Wieloletniej Prognozy Finansowej (WPF) pozwalający na prognozę</w:t>
      </w:r>
      <w:r w:rsidR="00AC4D2C">
        <w:rPr>
          <w:rFonts w:ascii="Times New Roman" w:hAnsi="Times New Roman"/>
          <w:sz w:val="24"/>
          <w:szCs w:val="24"/>
        </w:rPr>
        <w:t xml:space="preserve"> </w:t>
      </w:r>
      <w:r>
        <w:rPr>
          <w:rFonts w:ascii="Times New Roman" w:hAnsi="Times New Roman"/>
          <w:sz w:val="24"/>
          <w:szCs w:val="24"/>
        </w:rPr>
        <w:t>sytuacji budżetu Gminy do momentu spłaty wszystkich istniejących oraz przyszłych</w:t>
      </w:r>
      <w:r w:rsidR="00AC4D2C">
        <w:rPr>
          <w:rFonts w:ascii="Times New Roman" w:hAnsi="Times New Roman"/>
          <w:sz w:val="24"/>
          <w:szCs w:val="24"/>
        </w:rPr>
        <w:t xml:space="preserve"> </w:t>
      </w:r>
      <w:r>
        <w:rPr>
          <w:rFonts w:ascii="Times New Roman" w:hAnsi="Times New Roman"/>
          <w:sz w:val="24"/>
          <w:szCs w:val="24"/>
        </w:rPr>
        <w:t>zobowiązań dłużnych. Założono, iż kredyty będą zaciągane do 2014 r. włącznie. Od</w:t>
      </w:r>
      <w:r w:rsidR="00AC4D2C">
        <w:rPr>
          <w:rFonts w:ascii="Times New Roman" w:hAnsi="Times New Roman"/>
          <w:sz w:val="24"/>
          <w:szCs w:val="24"/>
        </w:rPr>
        <w:t xml:space="preserve"> </w:t>
      </w:r>
      <w:r>
        <w:rPr>
          <w:rFonts w:ascii="Times New Roman" w:hAnsi="Times New Roman"/>
          <w:sz w:val="24"/>
          <w:szCs w:val="24"/>
        </w:rPr>
        <w:t>2015 r.  przychody z tytułu kredytów przyjęto na poziomie zerowym.</w:t>
      </w:r>
    </w:p>
    <w:p w:rsidR="00344C35" w:rsidRDefault="00FD32B3" w:rsidP="001F425E">
      <w:pPr>
        <w:autoSpaceDE w:val="0"/>
        <w:jc w:val="both"/>
        <w:rPr>
          <w:rFonts w:ascii="Times New Roman" w:hAnsi="Times New Roman"/>
          <w:b/>
          <w:bCs/>
          <w:color w:val="000000"/>
          <w:sz w:val="36"/>
          <w:szCs w:val="36"/>
        </w:rPr>
      </w:pPr>
      <w:r>
        <w:rPr>
          <w:rFonts w:ascii="Times New Roman" w:hAnsi="Times New Roman"/>
          <w:b/>
          <w:bCs/>
          <w:color w:val="000000"/>
          <w:sz w:val="36"/>
          <w:szCs w:val="36"/>
        </w:rPr>
        <w:t>2. Założenia do Wieloletniej Prognozy Finansowej</w:t>
      </w:r>
    </w:p>
    <w:p w:rsidR="00344C35" w:rsidRDefault="00FD32B3" w:rsidP="001F425E">
      <w:pPr>
        <w:autoSpaceDE w:val="0"/>
        <w:jc w:val="both"/>
      </w:pPr>
      <w:r>
        <w:rPr>
          <w:rFonts w:ascii="Times New Roman" w:hAnsi="Times New Roman"/>
          <w:b/>
          <w:bCs/>
          <w:color w:val="000000"/>
          <w:sz w:val="28"/>
          <w:szCs w:val="28"/>
        </w:rPr>
        <w:t xml:space="preserve">2.1. </w:t>
      </w:r>
      <w:r>
        <w:rPr>
          <w:rFonts w:ascii="Times New Roman,Bold" w:hAnsi="Times New Roman,Bold" w:cs="Times New Roman,Bold"/>
          <w:b/>
          <w:bCs/>
          <w:color w:val="000000"/>
          <w:sz w:val="28"/>
          <w:szCs w:val="28"/>
        </w:rPr>
        <w:t>Założenia makroekonomiczne</w:t>
      </w:r>
    </w:p>
    <w:p w:rsidR="00344C35" w:rsidRDefault="00FD32B3" w:rsidP="001F425E">
      <w:pPr>
        <w:suppressAutoHyphens w:val="0"/>
        <w:spacing w:after="0" w:line="276" w:lineRule="auto"/>
        <w:ind w:firstLine="708"/>
        <w:jc w:val="both"/>
        <w:textAlignment w:val="auto"/>
      </w:pPr>
      <w:r>
        <w:rPr>
          <w:rFonts w:ascii="Times New Roman" w:eastAsia="Times New Roman" w:hAnsi="Times New Roman"/>
          <w:sz w:val="24"/>
          <w:szCs w:val="24"/>
          <w:lang w:eastAsia="pl-PL"/>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344C35" w:rsidRDefault="00FD32B3" w:rsidP="001F425E">
      <w:pPr>
        <w:suppressAutoHyphens w:val="0"/>
        <w:spacing w:after="0" w:line="276" w:lineRule="auto"/>
        <w:jc w:val="both"/>
        <w:textAlignment w:val="auto"/>
      </w:pPr>
      <w:r>
        <w:rPr>
          <w:rFonts w:ascii="Times New Roman" w:eastAsia="Times New Roman" w:hAnsi="Times New Roman"/>
          <w:sz w:val="24"/>
          <w:szCs w:val="24"/>
          <w:lang w:eastAsia="pl-PL"/>
        </w:rPr>
        <w:t>W  kwietniu 2014 roku Rada Ministrów przyjęła zaktualizowany Wieloletni Plan Finansowy Państwa na lata 2014 -2017 (WPFP).</w:t>
      </w:r>
    </w:p>
    <w:p w:rsidR="00344C35" w:rsidRDefault="00FD32B3" w:rsidP="001F425E">
      <w:pPr>
        <w:suppressAutoHyphens w:val="0"/>
        <w:spacing w:after="0" w:line="276" w:lineRule="auto"/>
        <w:jc w:val="both"/>
        <w:textAlignment w:val="auto"/>
        <w:rPr>
          <w:rFonts w:ascii="Times New Roman" w:eastAsia="Times New Roman" w:hAnsi="Times New Roman"/>
          <w:sz w:val="24"/>
          <w:szCs w:val="24"/>
          <w:lang w:eastAsia="pl-PL"/>
        </w:rPr>
      </w:pPr>
      <w:r>
        <w:rPr>
          <w:rFonts w:ascii="Times New Roman" w:eastAsia="Times New Roman" w:hAnsi="Times New Roman"/>
          <w:sz w:val="24"/>
          <w:szCs w:val="24"/>
          <w:lang w:eastAsia="pl-PL"/>
        </w:rPr>
        <w:t>Od 2014 roku Wieloletni Plan Finansowy Państwa składać się będzie z dwóch części:</w:t>
      </w:r>
    </w:p>
    <w:p w:rsidR="00344C35" w:rsidRDefault="00FD32B3" w:rsidP="001F425E">
      <w:pPr>
        <w:suppressAutoHyphens w:val="0"/>
        <w:spacing w:after="0" w:line="276" w:lineRule="auto"/>
        <w:jc w:val="both"/>
        <w:textAlignment w:val="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 Programu konwergencji, </w:t>
      </w:r>
    </w:p>
    <w:p w:rsidR="00344C35" w:rsidRDefault="00FD32B3" w:rsidP="001F425E">
      <w:pPr>
        <w:suppressAutoHyphens w:val="0"/>
        <w:spacing w:after="0" w:line="276" w:lineRule="auto"/>
        <w:jc w:val="both"/>
        <w:textAlignment w:val="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 określenia celów głównych funkcji państwa wraz z miernikami stopnia ich realizacji.</w:t>
      </w:r>
    </w:p>
    <w:p w:rsidR="00344C35" w:rsidRDefault="00FD32B3" w:rsidP="001F425E">
      <w:pPr>
        <w:suppressAutoHyphens w:val="0"/>
        <w:spacing w:after="0" w:line="276" w:lineRule="auto"/>
        <w:jc w:val="both"/>
        <w:textAlignment w:val="auto"/>
      </w:pPr>
      <w:r>
        <w:rPr>
          <w:rFonts w:ascii="Times New Roman" w:eastAsia="Times New Roman" w:hAnsi="Times New Roman"/>
          <w:sz w:val="24"/>
          <w:szCs w:val="24"/>
          <w:lang w:eastAsia="pl-PL"/>
        </w:rPr>
        <w:t>Zatem WPFP na lata 2014 – 2017 jest pierwszym dokumentem przygotowanym według nowego układu a aktualizacja zawartego w WPFP na lata 2014-2017 Programu konwergencji posłuży jako podstawa przygotowania projektu ustawy budżetowej na rok 2015.</w:t>
      </w:r>
    </w:p>
    <w:p w:rsidR="00344C35" w:rsidRDefault="00344C35" w:rsidP="001F425E">
      <w:pPr>
        <w:suppressAutoHyphens w:val="0"/>
        <w:spacing w:after="0" w:line="276" w:lineRule="auto"/>
        <w:jc w:val="both"/>
        <w:textAlignment w:val="auto"/>
      </w:pPr>
    </w:p>
    <w:p w:rsidR="00344C35" w:rsidRDefault="00FD32B3" w:rsidP="001F425E">
      <w:pPr>
        <w:suppressAutoHyphens w:val="0"/>
        <w:spacing w:after="0"/>
        <w:jc w:val="both"/>
        <w:textAlignment w:val="auto"/>
      </w:pPr>
      <w:r>
        <w:rPr>
          <w:rFonts w:ascii="Times New Roman" w:eastAsia="Times New Roman" w:hAnsi="Times New Roman"/>
          <w:sz w:val="24"/>
          <w:szCs w:val="24"/>
          <w:lang w:eastAsia="pl-PL"/>
        </w:rPr>
        <w:t xml:space="preserve">Podstawowe założenia przyjęte do WPFP oraz Budżetu Państwa 2015 prezentuje poniższa tabela. </w:t>
      </w:r>
    </w:p>
    <w:p w:rsidR="00344C35" w:rsidRDefault="00344C35">
      <w:pPr>
        <w:suppressAutoHyphens w:val="0"/>
        <w:spacing w:after="0"/>
        <w:textAlignment w:val="auto"/>
        <w:rPr>
          <w:rFonts w:ascii="Times New Roman" w:eastAsia="Times New Roman" w:hAnsi="Times New Roman"/>
          <w:b/>
          <w:sz w:val="20"/>
          <w:szCs w:val="20"/>
          <w:lang w:eastAsia="pl-PL"/>
        </w:rPr>
      </w:pPr>
    </w:p>
    <w:p w:rsidR="00344C35" w:rsidRDefault="00FD32B3">
      <w:pPr>
        <w:suppressAutoHyphens w:val="0"/>
        <w:spacing w:after="0"/>
        <w:jc w:val="center"/>
        <w:textAlignment w:val="auto"/>
      </w:pPr>
      <w:r>
        <w:rPr>
          <w:rFonts w:ascii="Times New Roman" w:eastAsia="Times New Roman" w:hAnsi="Times New Roman"/>
          <w:b/>
          <w:sz w:val="20"/>
          <w:szCs w:val="20"/>
          <w:lang w:eastAsia="pl-PL"/>
        </w:rPr>
        <w:t>PROGNOZA PODSTAWOWYCH ZAŁOŻEŃ MAKROEKONOMICZNYCH W LATACH</w:t>
      </w:r>
    </w:p>
    <w:p w:rsidR="00344C35" w:rsidRDefault="00FD32B3">
      <w:pPr>
        <w:suppressAutoHyphens w:val="0"/>
        <w:spacing w:after="0"/>
        <w:jc w:val="center"/>
        <w:textAlignment w:val="auto"/>
        <w:rPr>
          <w:rFonts w:ascii="Times New Roman" w:eastAsia="Times New Roman" w:hAnsi="Times New Roman"/>
          <w:b/>
          <w:sz w:val="20"/>
          <w:szCs w:val="20"/>
          <w:lang w:eastAsia="pl-PL"/>
        </w:rPr>
      </w:pPr>
      <w:r>
        <w:rPr>
          <w:rFonts w:ascii="Times New Roman" w:eastAsia="Times New Roman" w:hAnsi="Times New Roman"/>
          <w:b/>
          <w:sz w:val="20"/>
          <w:szCs w:val="20"/>
          <w:lang w:eastAsia="pl-PL"/>
        </w:rPr>
        <w:t>2014 - 2017</w:t>
      </w:r>
    </w:p>
    <w:p w:rsidR="00344C35" w:rsidRDefault="00344C35">
      <w:pPr>
        <w:autoSpaceDE w:val="0"/>
      </w:pPr>
    </w:p>
    <w:p w:rsidR="00344C35" w:rsidRDefault="00FD32B3">
      <w:pPr>
        <w:autoSpaceDE w:val="0"/>
        <w:rPr>
          <w:rFonts w:ascii="Times New Roman" w:eastAsia="Times New Roman" w:hAnsi="Times New Roman"/>
          <w:sz w:val="20"/>
          <w:szCs w:val="20"/>
          <w:lang w:eastAsia="pl-PL"/>
        </w:rPr>
      </w:pPr>
      <w:r>
        <w:object w:dxaOrig="9150" w:dyaOrig="2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i1025" type="#_x0000_t75" style="width:457.5pt;height:108pt;visibility:visible;mso-wrap-style:square" o:ole="">
            <v:imagedata r:id="rId16" o:title=""/>
          </v:shape>
          <o:OLEObject Type="Embed" ProgID="Excel.Sheet.12" ShapeID="Object 3" DrawAspect="Content" ObjectID="_1483441932" r:id="rId17"/>
        </w:object>
      </w:r>
      <w:r>
        <w:rPr>
          <w:rFonts w:ascii="Times New Roman" w:eastAsia="Times New Roman" w:hAnsi="Times New Roman"/>
          <w:sz w:val="20"/>
          <w:szCs w:val="20"/>
          <w:lang w:eastAsia="pl-PL"/>
        </w:rPr>
        <w:t>Źródło: Wieloletni Plan Finansowy Państwa na lata 2014 -2017,  Program konwergencji. Aktualizacja 2014</w:t>
      </w:r>
    </w:p>
    <w:p w:rsidR="005A4076" w:rsidRDefault="005A4076">
      <w:pPr>
        <w:suppressAutoHyphens w:val="0"/>
        <w:rPr>
          <w:rFonts w:ascii="Times New Roman" w:hAnsi="Times New Roman"/>
          <w:b/>
          <w:bCs/>
          <w:color w:val="000000"/>
          <w:sz w:val="28"/>
          <w:szCs w:val="28"/>
        </w:rPr>
      </w:pPr>
      <w:r>
        <w:rPr>
          <w:rFonts w:ascii="Times New Roman" w:hAnsi="Times New Roman"/>
          <w:b/>
          <w:bCs/>
          <w:color w:val="000000"/>
          <w:sz w:val="28"/>
          <w:szCs w:val="28"/>
        </w:rPr>
        <w:br w:type="page"/>
      </w:r>
    </w:p>
    <w:p w:rsidR="00344C35" w:rsidRDefault="00FD32B3">
      <w:pPr>
        <w:autoSpaceDE w:val="0"/>
      </w:pPr>
      <w:r>
        <w:rPr>
          <w:rFonts w:ascii="Times New Roman" w:hAnsi="Times New Roman"/>
          <w:b/>
          <w:bCs/>
          <w:color w:val="000000"/>
          <w:sz w:val="28"/>
          <w:szCs w:val="28"/>
        </w:rPr>
        <w:lastRenderedPageBreak/>
        <w:t xml:space="preserve">2.2. </w:t>
      </w:r>
      <w:r>
        <w:rPr>
          <w:rFonts w:ascii="Times New Roman,Bold" w:hAnsi="Times New Roman,Bold" w:cs="Times New Roman,Bold"/>
          <w:b/>
          <w:bCs/>
          <w:color w:val="000000"/>
          <w:sz w:val="28"/>
          <w:szCs w:val="28"/>
        </w:rPr>
        <w:t>Założenia przyjęte do prognozy dochodów budżetu gminy</w:t>
      </w:r>
    </w:p>
    <w:p w:rsidR="00344C35" w:rsidRDefault="00FD32B3">
      <w:pPr>
        <w:autoSpaceDE w:val="0"/>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DOCHODY BIEŻĄCE</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Założenia dotyczące kształtowania się najistotniejszych grup i źródeł dochodów bieżących</w:t>
      </w:r>
      <w:r w:rsidR="00AC4D2C">
        <w:rPr>
          <w:rFonts w:ascii="Times New Roman" w:hAnsi="Times New Roman"/>
          <w:color w:val="000000"/>
          <w:sz w:val="24"/>
          <w:szCs w:val="24"/>
        </w:rPr>
        <w:t xml:space="preserve"> </w:t>
      </w:r>
      <w:r>
        <w:rPr>
          <w:rFonts w:ascii="Times New Roman" w:hAnsi="Times New Roman"/>
          <w:color w:val="000000"/>
          <w:sz w:val="24"/>
          <w:szCs w:val="24"/>
        </w:rPr>
        <w:t>Gminy w kolejnych latach zostały ustalone w oparciu o historyczną analizę</w:t>
      </w:r>
      <w:r w:rsidR="00AC4D2C">
        <w:rPr>
          <w:rFonts w:ascii="Times New Roman" w:hAnsi="Times New Roman"/>
          <w:color w:val="000000"/>
          <w:sz w:val="24"/>
          <w:szCs w:val="24"/>
        </w:rPr>
        <w:t xml:space="preserve"> </w:t>
      </w:r>
      <w:r>
        <w:rPr>
          <w:rFonts w:ascii="Times New Roman" w:hAnsi="Times New Roman"/>
          <w:color w:val="000000"/>
          <w:sz w:val="24"/>
          <w:szCs w:val="24"/>
        </w:rPr>
        <w:t>poszczególnych źródeł ich przewidywane wykonanie oraz prognozę wskaźników makroekonomicznych.</w:t>
      </w:r>
    </w:p>
    <w:p w:rsidR="00344C35" w:rsidRDefault="00FD32B3">
      <w:pPr>
        <w:autoSpaceDE w:val="0"/>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PODATKI I OPŁATY LOKALNE</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W skład grupy „Podatki i opłaty lokalne” zostały włączone następujące źródła dochodów:</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1. Podatek od nieruchomości,</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2. Podatek rolny,</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3. Podatek leśny,</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4. Podatek od środków transportowych,</w:t>
      </w:r>
    </w:p>
    <w:p w:rsidR="00344C35" w:rsidRDefault="00FD32B3">
      <w:pPr>
        <w:autoSpaceDE w:val="0"/>
        <w:rPr>
          <w:rFonts w:ascii="Times New Roman" w:hAnsi="Times New Roman"/>
          <w:color w:val="000000"/>
          <w:sz w:val="24"/>
          <w:szCs w:val="24"/>
        </w:rPr>
      </w:pPr>
      <w:r>
        <w:rPr>
          <w:rFonts w:ascii="Times New Roman" w:hAnsi="Times New Roman"/>
          <w:color w:val="000000"/>
          <w:sz w:val="24"/>
          <w:szCs w:val="24"/>
        </w:rPr>
        <w:t>5. Opłata targowa,</w:t>
      </w:r>
    </w:p>
    <w:p w:rsidR="00344C35" w:rsidRDefault="00FD32B3">
      <w:pPr>
        <w:rPr>
          <w:rFonts w:ascii="Times New Roman" w:hAnsi="Times New Roman"/>
          <w:color w:val="000000"/>
          <w:sz w:val="24"/>
          <w:szCs w:val="24"/>
        </w:rPr>
      </w:pPr>
      <w:r>
        <w:rPr>
          <w:rFonts w:ascii="Times New Roman" w:hAnsi="Times New Roman"/>
          <w:color w:val="000000"/>
          <w:sz w:val="24"/>
          <w:szCs w:val="24"/>
        </w:rPr>
        <w:t>6. Opłata skarbowa,</w:t>
      </w:r>
    </w:p>
    <w:p w:rsidR="00344C35" w:rsidRDefault="00FD32B3">
      <w:pPr>
        <w:rPr>
          <w:rFonts w:ascii="Times New Roman" w:hAnsi="Times New Roman"/>
          <w:color w:val="000000"/>
          <w:sz w:val="24"/>
          <w:szCs w:val="24"/>
        </w:rPr>
      </w:pPr>
      <w:r>
        <w:rPr>
          <w:rFonts w:ascii="Times New Roman" w:hAnsi="Times New Roman"/>
          <w:color w:val="000000"/>
          <w:sz w:val="24"/>
          <w:szCs w:val="24"/>
        </w:rPr>
        <w:t>7. Wpływy z opłaty za sprzedaż napojów alkoholowych,</w:t>
      </w:r>
    </w:p>
    <w:p w:rsidR="00344C35" w:rsidRDefault="00FD32B3">
      <w:pPr>
        <w:rPr>
          <w:rFonts w:ascii="Times New Roman" w:hAnsi="Times New Roman"/>
          <w:color w:val="000000"/>
          <w:sz w:val="24"/>
          <w:szCs w:val="24"/>
        </w:rPr>
      </w:pPr>
      <w:r>
        <w:rPr>
          <w:rFonts w:ascii="Times New Roman" w:hAnsi="Times New Roman"/>
          <w:color w:val="000000"/>
          <w:sz w:val="24"/>
          <w:szCs w:val="24"/>
        </w:rPr>
        <w:t>8. Wpływy z lokalnych opłat,</w:t>
      </w:r>
    </w:p>
    <w:p w:rsidR="00344C35" w:rsidRDefault="00FD32B3">
      <w:r>
        <w:rPr>
          <w:rFonts w:ascii="Times New Roman" w:hAnsi="Times New Roman"/>
          <w:color w:val="000000"/>
          <w:sz w:val="24"/>
          <w:szCs w:val="24"/>
        </w:rPr>
        <w:t>9. Podatki przekazywane przez Urzędy Skarbowe (</w:t>
      </w:r>
      <w:r>
        <w:rPr>
          <w:rFonts w:cs="Calibri"/>
          <w:color w:val="000000"/>
          <w:sz w:val="24"/>
          <w:szCs w:val="24"/>
        </w:rPr>
        <w:t>§</w:t>
      </w:r>
      <w:r>
        <w:rPr>
          <w:rFonts w:ascii="Times New Roman" w:hAnsi="Times New Roman"/>
          <w:color w:val="000000"/>
          <w:sz w:val="24"/>
          <w:szCs w:val="24"/>
        </w:rPr>
        <w:t xml:space="preserve"> 0500, </w:t>
      </w:r>
      <w:r>
        <w:rPr>
          <w:rFonts w:cs="Calibri"/>
          <w:color w:val="000000"/>
          <w:sz w:val="24"/>
          <w:szCs w:val="24"/>
        </w:rPr>
        <w:t>§</w:t>
      </w:r>
      <w:r>
        <w:rPr>
          <w:rFonts w:ascii="Times New Roman" w:hAnsi="Times New Roman"/>
          <w:color w:val="000000"/>
          <w:sz w:val="24"/>
          <w:szCs w:val="24"/>
        </w:rPr>
        <w:t xml:space="preserve"> 0360, </w:t>
      </w:r>
      <w:r>
        <w:rPr>
          <w:rFonts w:cs="Calibri"/>
          <w:color w:val="000000"/>
          <w:sz w:val="24"/>
          <w:szCs w:val="24"/>
        </w:rPr>
        <w:t>§</w:t>
      </w:r>
      <w:r>
        <w:rPr>
          <w:rFonts w:ascii="Times New Roman" w:hAnsi="Times New Roman"/>
          <w:color w:val="000000"/>
          <w:sz w:val="24"/>
          <w:szCs w:val="24"/>
        </w:rPr>
        <w:t xml:space="preserve"> 0350)</w:t>
      </w:r>
    </w:p>
    <w:p w:rsidR="00344C35" w:rsidRDefault="00FD32B3">
      <w:r>
        <w:rPr>
          <w:rFonts w:ascii="Times New Roman" w:hAnsi="Times New Roman"/>
          <w:color w:val="000000"/>
          <w:sz w:val="24"/>
          <w:szCs w:val="24"/>
        </w:rPr>
        <w:t>10. Koszty upomnienia.</w:t>
      </w:r>
    </w:p>
    <w:p w:rsidR="00344C35" w:rsidRDefault="00FD32B3" w:rsidP="00AC4D2C">
      <w:pPr>
        <w:autoSpaceDE w:val="0"/>
        <w:spacing w:line="276" w:lineRule="auto"/>
        <w:ind w:firstLine="708"/>
        <w:jc w:val="both"/>
      </w:pPr>
      <w:r>
        <w:rPr>
          <w:rFonts w:ascii="Times New Roman" w:hAnsi="Times New Roman"/>
          <w:sz w:val="24"/>
          <w:szCs w:val="24"/>
        </w:rPr>
        <w:t xml:space="preserve">W latach historycznych dynamika dochodów tej grupy była zmienna co wynikało </w:t>
      </w:r>
      <w:r w:rsidR="00AC4D2C">
        <w:rPr>
          <w:rFonts w:ascii="Times New Roman" w:hAnsi="Times New Roman"/>
          <w:sz w:val="24"/>
          <w:szCs w:val="24"/>
        </w:rPr>
        <w:br/>
      </w:r>
      <w:r>
        <w:rPr>
          <w:rFonts w:ascii="Times New Roman" w:hAnsi="Times New Roman"/>
          <w:sz w:val="24"/>
          <w:szCs w:val="24"/>
        </w:rPr>
        <w:t>ze</w:t>
      </w:r>
      <w:r w:rsidR="00AC4D2C">
        <w:rPr>
          <w:rFonts w:ascii="Times New Roman" w:hAnsi="Times New Roman"/>
          <w:sz w:val="24"/>
          <w:szCs w:val="24"/>
        </w:rPr>
        <w:t xml:space="preserve"> </w:t>
      </w:r>
      <w:r>
        <w:rPr>
          <w:rFonts w:ascii="Times New Roman" w:hAnsi="Times New Roman"/>
          <w:sz w:val="24"/>
          <w:szCs w:val="24"/>
        </w:rPr>
        <w:t>zmienności bazy objętej opodatkowaniem. Kolejne lata wskazują na dalszy ich wzrost.</w:t>
      </w:r>
      <w:r w:rsidR="00AC4D2C">
        <w:rPr>
          <w:rFonts w:ascii="Times New Roman" w:hAnsi="Times New Roman"/>
          <w:sz w:val="24"/>
          <w:szCs w:val="24"/>
        </w:rPr>
        <w:br/>
      </w:r>
      <w:r>
        <w:rPr>
          <w:rFonts w:ascii="Times New Roman" w:hAnsi="Times New Roman"/>
          <w:color w:val="000000"/>
          <w:sz w:val="24"/>
          <w:szCs w:val="24"/>
        </w:rPr>
        <w:t xml:space="preserve">W 2015 r. założono dochody z tego tytułu </w:t>
      </w:r>
      <w:r>
        <w:rPr>
          <w:rFonts w:ascii="Times New Roman" w:hAnsi="Times New Roman"/>
          <w:sz w:val="24"/>
          <w:szCs w:val="24"/>
        </w:rPr>
        <w:t xml:space="preserve">w kwocie 12.895.252 zł., </w:t>
      </w:r>
      <w:r>
        <w:rPr>
          <w:rFonts w:ascii="Times New Roman" w:hAnsi="Times New Roman"/>
          <w:color w:val="000000"/>
          <w:sz w:val="24"/>
          <w:szCs w:val="24"/>
        </w:rPr>
        <w:t>w 2016-2018 założono ich wzrost o 3 % z uwagi na ostrożną politykę jaka była prowadzona w stosunku do tych podatków w latach ubiegłych. Natomiast w kolejnych latach Wieloletniej Prognozy Finansowej założono ich wzrost w przedziale 2,40 – 3,07%.</w:t>
      </w:r>
    </w:p>
    <w:p w:rsidR="00344C35" w:rsidRDefault="00FD32B3">
      <w:pPr>
        <w:autoSpaceDE w:val="0"/>
        <w:rPr>
          <w:rFonts w:ascii="Times New Roman" w:hAnsi="Times New Roman"/>
          <w:sz w:val="24"/>
          <w:szCs w:val="24"/>
          <w:u w:val="single"/>
        </w:rPr>
      </w:pPr>
      <w:r>
        <w:rPr>
          <w:rFonts w:ascii="Times New Roman" w:hAnsi="Times New Roman"/>
          <w:sz w:val="24"/>
          <w:szCs w:val="24"/>
          <w:u w:val="single"/>
        </w:rPr>
        <w:t>Podatek od nieruchomości:</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Wzrost wpływów z tytułu podatku od nieruchomości osób prawnych o 20,96% w stosunku do planu na 2014 rok  jest następstwem uchwalonych stawek podatku przez Radę Miejską w Rogoźnie oraz założenia częściowej spłaty należności wymagalnych. Do obliczenia planowanych dochodów  z tego tytuły uwzględniono również nowo oddane budowle - elektrownie wiatrowe, przysadzenie nieruchomości osoby fizycznej na rzecz spółki oraz wniesienie nieruchomości osoby fizycznej do majątku nowo powstałej spółki i  wygaśnięcie zwolnienia z tytułu uchwały o pomocy de </w:t>
      </w:r>
      <w:proofErr w:type="spellStart"/>
      <w:r>
        <w:rPr>
          <w:rFonts w:ascii="Times New Roman" w:hAnsi="Times New Roman"/>
          <w:sz w:val="24"/>
          <w:szCs w:val="24"/>
        </w:rPr>
        <w:t>minimis</w:t>
      </w:r>
      <w:proofErr w:type="spellEnd"/>
      <w:r>
        <w:rPr>
          <w:rFonts w:ascii="Times New Roman" w:hAnsi="Times New Roman"/>
          <w:sz w:val="24"/>
          <w:szCs w:val="24"/>
        </w:rPr>
        <w:t>.</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 przypadku podatku od nieruchomości osób fizycznych na rok 2015 zaplanowano spadek do poziomu 98,35% planowanych dochodów roku 2014. Obliczenia podatku dokonano </w:t>
      </w:r>
      <w:r w:rsidR="00AC4D2C">
        <w:rPr>
          <w:rFonts w:ascii="Times New Roman" w:hAnsi="Times New Roman"/>
          <w:sz w:val="24"/>
          <w:szCs w:val="24"/>
        </w:rPr>
        <w:br/>
      </w:r>
      <w:r>
        <w:rPr>
          <w:rFonts w:ascii="Times New Roman" w:hAnsi="Times New Roman"/>
          <w:sz w:val="24"/>
          <w:szCs w:val="24"/>
        </w:rPr>
        <w:t xml:space="preserve">na podstawie uchwalonych stawek na 2015 rok. </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 Wzrost podatku od nieruchomości zarówno od osób prawnych jak i fizycznych </w:t>
      </w:r>
      <w:r w:rsidR="00AC4D2C">
        <w:rPr>
          <w:rFonts w:ascii="Times New Roman" w:hAnsi="Times New Roman"/>
          <w:sz w:val="24"/>
          <w:szCs w:val="24"/>
        </w:rPr>
        <w:br/>
      </w:r>
      <w:r>
        <w:rPr>
          <w:rFonts w:ascii="Times New Roman" w:hAnsi="Times New Roman"/>
          <w:sz w:val="24"/>
          <w:szCs w:val="24"/>
        </w:rPr>
        <w:t>w Wieloletniej Prognozie Finansowej na lata 2016-2025 został założony w bezpiecznych granicach tj.3%  dla każdego roku.</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Bazę wyjściową dla pozostałych dochodów z tytułu podatków i opłat lokalnych stanowią</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planowane wykonanie w budżecie 2014 r. Zanotowano nieznaczny spadek dochodów z tytułu podatku leśnego w przypadku osób prawnych, natomiast rekompensuje go wzrost podatku leśnego od osób fizycznych, który kształtuje się na poziomie 8% . Na dochodach  z tytułu </w:t>
      </w:r>
      <w:r>
        <w:rPr>
          <w:rFonts w:ascii="Times New Roman" w:hAnsi="Times New Roman"/>
          <w:sz w:val="24"/>
          <w:szCs w:val="24"/>
        </w:rPr>
        <w:lastRenderedPageBreak/>
        <w:t xml:space="preserve">podatku od środków transportu planuje się wzrost zarówno w osobach prawnych jak </w:t>
      </w:r>
      <w:r w:rsidR="00AC4D2C">
        <w:rPr>
          <w:rFonts w:ascii="Times New Roman" w:hAnsi="Times New Roman"/>
          <w:sz w:val="24"/>
          <w:szCs w:val="24"/>
        </w:rPr>
        <w:br/>
      </w:r>
      <w:r>
        <w:rPr>
          <w:rFonts w:ascii="Times New Roman" w:hAnsi="Times New Roman"/>
          <w:sz w:val="24"/>
          <w:szCs w:val="24"/>
        </w:rPr>
        <w:t>i fizycznych o następujące wielkości.</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 - podatek od środków transportowych osób prawnych  - 23,87%</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 - podatek od środków transportowych osób fizycznych – 4,83%</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Wielkości, które zostały ujęte w projekcie są iloczynem ilości zarejestrowanych pojazdów </w:t>
      </w:r>
      <w:r w:rsidR="00AC4D2C">
        <w:rPr>
          <w:rFonts w:ascii="Times New Roman" w:hAnsi="Times New Roman"/>
          <w:sz w:val="24"/>
          <w:szCs w:val="24"/>
        </w:rPr>
        <w:br/>
      </w:r>
      <w:r>
        <w:rPr>
          <w:rFonts w:ascii="Times New Roman" w:hAnsi="Times New Roman"/>
          <w:sz w:val="24"/>
          <w:szCs w:val="24"/>
        </w:rPr>
        <w:t xml:space="preserve">i uchwalonych stawek na 2015 rok. </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Dochody z tytułu opłaty targowej w 2015 roku zaplanowano wyższe o 28,21% w stosunku </w:t>
      </w:r>
      <w:r w:rsidR="00AC4D2C">
        <w:rPr>
          <w:rFonts w:ascii="Times New Roman" w:hAnsi="Times New Roman"/>
          <w:sz w:val="24"/>
          <w:szCs w:val="24"/>
        </w:rPr>
        <w:br/>
      </w:r>
      <w:r>
        <w:rPr>
          <w:rFonts w:ascii="Times New Roman" w:hAnsi="Times New Roman"/>
          <w:sz w:val="24"/>
          <w:szCs w:val="24"/>
        </w:rPr>
        <w:t xml:space="preserve">do planu z 2014 roku. Wzrost jak najbardziej zasadny. We wrześniu 2014 roku oddano </w:t>
      </w:r>
      <w:r w:rsidR="00AC4D2C">
        <w:rPr>
          <w:rFonts w:ascii="Times New Roman" w:hAnsi="Times New Roman"/>
          <w:sz w:val="24"/>
          <w:szCs w:val="24"/>
        </w:rPr>
        <w:br/>
      </w:r>
      <w:r>
        <w:rPr>
          <w:rFonts w:ascii="Times New Roman" w:hAnsi="Times New Roman"/>
          <w:sz w:val="24"/>
          <w:szCs w:val="24"/>
        </w:rPr>
        <w:t>do użytkowania nowo powstałe targowisko miejskie „Mój rynek”, które poprzez sprzyjającą bazę dla handlujących przyczyniło się do znacznego wzrostu dochodów z tego tytułu.</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Wpływy z tytułu opłaty skarbowej po analizie dotychczasowego wykonania </w:t>
      </w:r>
      <w:r w:rsidR="00AC4D2C">
        <w:rPr>
          <w:rFonts w:ascii="Times New Roman" w:hAnsi="Times New Roman"/>
          <w:sz w:val="24"/>
          <w:szCs w:val="24"/>
        </w:rPr>
        <w:br/>
      </w:r>
      <w:r>
        <w:rPr>
          <w:rFonts w:ascii="Times New Roman" w:hAnsi="Times New Roman"/>
          <w:sz w:val="24"/>
          <w:szCs w:val="24"/>
        </w:rPr>
        <w:t>i przewidywanego wykonania na koniec roku zaplanowano na niezmienionym poziomie tj. 47.000 zł</w:t>
      </w:r>
    </w:p>
    <w:p w:rsidR="00344C35" w:rsidRDefault="00FD32B3" w:rsidP="00AC4D2C">
      <w:pPr>
        <w:autoSpaceDE w:val="0"/>
        <w:spacing w:line="276" w:lineRule="auto"/>
        <w:jc w:val="both"/>
      </w:pPr>
      <w:r>
        <w:rPr>
          <w:rFonts w:ascii="Times New Roman" w:hAnsi="Times New Roman"/>
          <w:sz w:val="24"/>
          <w:szCs w:val="24"/>
        </w:rPr>
        <w:t>W kolejnych latach założono, iż dochody z w/w tytułów będą średnio wzrastać o wskaźnik ok. 3%.</w:t>
      </w:r>
    </w:p>
    <w:p w:rsidR="00344C35" w:rsidRDefault="00FD32B3">
      <w:pPr>
        <w:autoSpaceDE w:val="0"/>
        <w:spacing w:line="276" w:lineRule="auto"/>
        <w:rPr>
          <w:rFonts w:ascii="Times New Roman" w:hAnsi="Times New Roman"/>
          <w:b/>
          <w:bCs/>
          <w:sz w:val="24"/>
          <w:szCs w:val="24"/>
        </w:rPr>
      </w:pPr>
      <w:r>
        <w:rPr>
          <w:rFonts w:ascii="Times New Roman" w:hAnsi="Times New Roman"/>
          <w:b/>
          <w:bCs/>
          <w:sz w:val="24"/>
          <w:szCs w:val="24"/>
        </w:rPr>
        <w:t>UDZIAŁ GMINY WE WPŁYWACH Z PODATKU DOCHODOWEGO OD OSÓB</w:t>
      </w:r>
    </w:p>
    <w:p w:rsidR="00344C35" w:rsidRDefault="00FD32B3">
      <w:pPr>
        <w:autoSpaceDE w:val="0"/>
        <w:spacing w:line="276" w:lineRule="auto"/>
        <w:rPr>
          <w:rFonts w:ascii="Times New Roman" w:hAnsi="Times New Roman"/>
          <w:b/>
          <w:bCs/>
          <w:sz w:val="24"/>
          <w:szCs w:val="24"/>
        </w:rPr>
      </w:pPr>
      <w:r>
        <w:rPr>
          <w:rFonts w:ascii="Times New Roman" w:hAnsi="Times New Roman"/>
          <w:b/>
          <w:bCs/>
          <w:sz w:val="24"/>
          <w:szCs w:val="24"/>
        </w:rPr>
        <w:t>FIZYCZNYCH I PRAWNYCH (PIT ,CIT)</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Przyjęto, że udziały w podatku dochodowym od osób fizycznych i prawnych będą</w:t>
      </w:r>
      <w:r w:rsidR="00AC4D2C">
        <w:rPr>
          <w:rFonts w:ascii="Times New Roman" w:hAnsi="Times New Roman"/>
          <w:sz w:val="24"/>
          <w:szCs w:val="24"/>
        </w:rPr>
        <w:t xml:space="preserve"> </w:t>
      </w:r>
      <w:r>
        <w:rPr>
          <w:rFonts w:ascii="Times New Roman" w:hAnsi="Times New Roman"/>
          <w:sz w:val="24"/>
          <w:szCs w:val="24"/>
        </w:rPr>
        <w:t>wzrastały odpowiednio w powiązaniu z prognozowanym wskaźnikiem inflacji oraz</w:t>
      </w:r>
      <w:r w:rsidR="00AC4D2C">
        <w:rPr>
          <w:rFonts w:ascii="Times New Roman" w:hAnsi="Times New Roman"/>
          <w:sz w:val="24"/>
          <w:szCs w:val="24"/>
        </w:rPr>
        <w:t xml:space="preserve"> </w:t>
      </w:r>
      <w:r>
        <w:rPr>
          <w:rFonts w:ascii="Times New Roman" w:hAnsi="Times New Roman"/>
          <w:sz w:val="24"/>
          <w:szCs w:val="24"/>
        </w:rPr>
        <w:t>częściowo wskaźnikiem wzrostu gospodarczego.</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Bazą do prognozy PIT jest otrzymane zawiadomienie Ministra Finansów o udziałach </w:t>
      </w:r>
      <w:r w:rsidR="00AC4D2C">
        <w:rPr>
          <w:rFonts w:ascii="Times New Roman" w:hAnsi="Times New Roman"/>
          <w:sz w:val="24"/>
          <w:szCs w:val="24"/>
        </w:rPr>
        <w:br/>
      </w:r>
      <w:r>
        <w:rPr>
          <w:rFonts w:ascii="Times New Roman" w:hAnsi="Times New Roman"/>
          <w:sz w:val="24"/>
          <w:szCs w:val="24"/>
        </w:rPr>
        <w:t xml:space="preserve">w podatku dochodowym od osób fizycznych. Informacja otrzymana wg pisma dysponenta </w:t>
      </w:r>
      <w:r w:rsidR="00AC4D2C">
        <w:rPr>
          <w:rFonts w:ascii="Times New Roman" w:hAnsi="Times New Roman"/>
          <w:sz w:val="24"/>
          <w:szCs w:val="24"/>
        </w:rPr>
        <w:br/>
      </w:r>
      <w:r>
        <w:rPr>
          <w:rFonts w:ascii="Times New Roman" w:hAnsi="Times New Roman"/>
          <w:sz w:val="24"/>
          <w:szCs w:val="24"/>
        </w:rPr>
        <w:t>z Ministerstwa Finansów stanowi, iż kwota 7.796.025 zł którą zaplanowano w budżecie 2015 roku jest wyższa o 9,53% w stosunku do planu na koniec III kwartału 2014 roku.</w:t>
      </w:r>
    </w:p>
    <w:p w:rsidR="00344C35" w:rsidRDefault="00FD32B3" w:rsidP="00AC4D2C">
      <w:pPr>
        <w:autoSpaceDE w:val="0"/>
        <w:spacing w:line="276" w:lineRule="auto"/>
        <w:jc w:val="both"/>
      </w:pPr>
      <w:r>
        <w:rPr>
          <w:rFonts w:ascii="Times New Roman" w:hAnsi="Times New Roman"/>
          <w:color w:val="000000"/>
          <w:sz w:val="24"/>
          <w:szCs w:val="24"/>
        </w:rPr>
        <w:t>W kolejnych latach założono, iż wpływy z podatku dochodowego od osób fizycznych będą</w:t>
      </w:r>
      <w:r w:rsidR="00AC4D2C">
        <w:rPr>
          <w:rFonts w:ascii="Times New Roman" w:hAnsi="Times New Roman"/>
          <w:color w:val="000000"/>
          <w:sz w:val="24"/>
          <w:szCs w:val="24"/>
        </w:rPr>
        <w:t xml:space="preserve"> </w:t>
      </w:r>
      <w:r>
        <w:rPr>
          <w:rFonts w:ascii="Times New Roman" w:hAnsi="Times New Roman"/>
          <w:color w:val="000000"/>
          <w:sz w:val="24"/>
          <w:szCs w:val="24"/>
        </w:rPr>
        <w:t>wzrastały w następujący sposób: w 2016 r. 2,5% w stosunku do 2015 roku, natomiast w 2017 i 2018 r. 4% w stosunku do roku poprzedniego.</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Podatek dochodowy od osób prawnych CIT  po analizie wykonania za III kwartały 2014 zaplanowano na poziomie 1.450.000 zł (</w:t>
      </w:r>
      <w:proofErr w:type="spellStart"/>
      <w:r>
        <w:rPr>
          <w:rFonts w:ascii="Times New Roman" w:hAnsi="Times New Roman"/>
          <w:sz w:val="24"/>
          <w:szCs w:val="24"/>
        </w:rPr>
        <w:t>tj</w:t>
      </w:r>
      <w:proofErr w:type="spellEnd"/>
      <w:r>
        <w:rPr>
          <w:rFonts w:ascii="Times New Roman" w:hAnsi="Times New Roman"/>
          <w:sz w:val="24"/>
          <w:szCs w:val="24"/>
        </w:rPr>
        <w:t xml:space="preserve"> wzrost o 45%). Dochody przekazywane przez Urzędy Skarbowe.</w:t>
      </w:r>
    </w:p>
    <w:p w:rsidR="00344C35" w:rsidRDefault="00FD32B3" w:rsidP="00AC4D2C">
      <w:pPr>
        <w:autoSpaceDE w:val="0"/>
        <w:spacing w:line="276" w:lineRule="auto"/>
        <w:jc w:val="both"/>
      </w:pPr>
      <w:r>
        <w:rPr>
          <w:rFonts w:ascii="Times New Roman" w:hAnsi="Times New Roman"/>
          <w:sz w:val="24"/>
          <w:szCs w:val="24"/>
        </w:rPr>
        <w:t xml:space="preserve">W następnych latach wpływy w podatku dochodowym od osób prawnych będą kształtowały się w następujący sposób: </w:t>
      </w:r>
      <w:r>
        <w:rPr>
          <w:rFonts w:ascii="Times New Roman" w:hAnsi="Times New Roman"/>
          <w:color w:val="000000"/>
          <w:sz w:val="24"/>
          <w:szCs w:val="24"/>
        </w:rPr>
        <w:t>w 2016 r. pozostają na niezmienionym poziomie, natomiast w 2017  i 2018 r. o 3,45%,  w stosunku do roku poprzedniego.</w:t>
      </w:r>
    </w:p>
    <w:p w:rsidR="00344C35" w:rsidRDefault="00FD32B3">
      <w:pPr>
        <w:autoSpaceDE w:val="0"/>
        <w:rPr>
          <w:rFonts w:ascii="Times New Roman" w:hAnsi="Times New Roman"/>
          <w:b/>
          <w:bCs/>
          <w:color w:val="000000"/>
          <w:sz w:val="24"/>
          <w:szCs w:val="24"/>
        </w:rPr>
      </w:pPr>
      <w:r>
        <w:rPr>
          <w:rFonts w:ascii="Times New Roman" w:hAnsi="Times New Roman"/>
          <w:b/>
          <w:bCs/>
          <w:color w:val="000000"/>
          <w:sz w:val="24"/>
          <w:szCs w:val="24"/>
        </w:rPr>
        <w:t>WPŁYWY Z PODATKÓW POBIERANYCH PRZEZ URZĘDY SKARBOWE NA</w:t>
      </w:r>
    </w:p>
    <w:p w:rsidR="00344C35" w:rsidRDefault="00FD32B3">
      <w:pPr>
        <w:autoSpaceDE w:val="0"/>
        <w:rPr>
          <w:rFonts w:ascii="Times New Roman" w:hAnsi="Times New Roman"/>
          <w:b/>
          <w:bCs/>
          <w:color w:val="000000"/>
          <w:sz w:val="24"/>
          <w:szCs w:val="24"/>
        </w:rPr>
      </w:pPr>
      <w:r>
        <w:rPr>
          <w:rFonts w:ascii="Times New Roman" w:hAnsi="Times New Roman"/>
          <w:b/>
          <w:bCs/>
          <w:color w:val="000000"/>
          <w:sz w:val="24"/>
          <w:szCs w:val="24"/>
        </w:rPr>
        <w:t>RZECZ GMINY</w:t>
      </w:r>
    </w:p>
    <w:p w:rsidR="00344C35" w:rsidRDefault="00FD32B3" w:rsidP="00AC4D2C">
      <w:pPr>
        <w:autoSpaceDE w:val="0"/>
        <w:jc w:val="both"/>
        <w:rPr>
          <w:rFonts w:ascii="Times New Roman" w:hAnsi="Times New Roman"/>
          <w:sz w:val="24"/>
          <w:szCs w:val="24"/>
        </w:rPr>
      </w:pPr>
      <w:r>
        <w:rPr>
          <w:rFonts w:ascii="Times New Roman" w:hAnsi="Times New Roman"/>
          <w:sz w:val="24"/>
          <w:szCs w:val="24"/>
        </w:rPr>
        <w:t xml:space="preserve">We wpływach z podatków pobieranych przez urzędy skarbowe ujęte zostały dochody </w:t>
      </w:r>
      <w:r w:rsidR="00AC4D2C">
        <w:rPr>
          <w:rFonts w:ascii="Times New Roman" w:hAnsi="Times New Roman"/>
          <w:sz w:val="24"/>
          <w:szCs w:val="24"/>
        </w:rPr>
        <w:br/>
      </w:r>
      <w:r>
        <w:rPr>
          <w:rFonts w:ascii="Times New Roman" w:hAnsi="Times New Roman"/>
          <w:sz w:val="24"/>
          <w:szCs w:val="24"/>
        </w:rPr>
        <w:t>z następujących tytułów:</w:t>
      </w:r>
    </w:p>
    <w:p w:rsidR="00344C35" w:rsidRDefault="00FD32B3" w:rsidP="00AC4D2C">
      <w:pPr>
        <w:autoSpaceDE w:val="0"/>
        <w:jc w:val="both"/>
        <w:rPr>
          <w:rFonts w:ascii="Times New Roman" w:hAnsi="Times New Roman"/>
          <w:sz w:val="24"/>
          <w:szCs w:val="24"/>
        </w:rPr>
      </w:pPr>
      <w:r>
        <w:rPr>
          <w:rFonts w:ascii="Times New Roman" w:hAnsi="Times New Roman"/>
          <w:sz w:val="24"/>
          <w:szCs w:val="24"/>
        </w:rPr>
        <w:t>1. Podatek od czynności cywilnoprawnych (PCC),</w:t>
      </w:r>
    </w:p>
    <w:p w:rsidR="00344C35" w:rsidRDefault="00FD32B3" w:rsidP="00AC4D2C">
      <w:pPr>
        <w:autoSpaceDE w:val="0"/>
        <w:jc w:val="both"/>
        <w:rPr>
          <w:rFonts w:ascii="Times New Roman" w:hAnsi="Times New Roman"/>
          <w:sz w:val="24"/>
          <w:szCs w:val="24"/>
        </w:rPr>
      </w:pPr>
      <w:r>
        <w:rPr>
          <w:rFonts w:ascii="Times New Roman" w:hAnsi="Times New Roman"/>
          <w:sz w:val="24"/>
          <w:szCs w:val="24"/>
        </w:rPr>
        <w:t>2. Podatek od spadków i darowizn,</w:t>
      </w:r>
    </w:p>
    <w:p w:rsidR="00344C35" w:rsidRDefault="00FD32B3" w:rsidP="00AC4D2C">
      <w:pPr>
        <w:jc w:val="both"/>
      </w:pPr>
      <w:r>
        <w:rPr>
          <w:rFonts w:ascii="Times New Roman" w:hAnsi="Times New Roman"/>
          <w:sz w:val="24"/>
          <w:szCs w:val="24"/>
        </w:rPr>
        <w:t>3. Karta podatkowa.</w:t>
      </w:r>
    </w:p>
    <w:p w:rsidR="00344C35" w:rsidRDefault="00FD32B3">
      <w:pPr>
        <w:autoSpaceDE w:val="0"/>
        <w:rPr>
          <w:rFonts w:ascii="Times New Roman" w:hAnsi="Times New Roman"/>
          <w:sz w:val="24"/>
          <w:szCs w:val="24"/>
          <w:u w:val="single"/>
        </w:rPr>
      </w:pPr>
      <w:r>
        <w:rPr>
          <w:rFonts w:ascii="Times New Roman" w:hAnsi="Times New Roman"/>
          <w:sz w:val="24"/>
          <w:szCs w:val="24"/>
          <w:u w:val="single"/>
        </w:rPr>
        <w:lastRenderedPageBreak/>
        <w:t>Podatek od czynności cywilnoprawnych</w:t>
      </w:r>
    </w:p>
    <w:p w:rsidR="00344C35" w:rsidRDefault="00FD32B3" w:rsidP="00AC4D2C">
      <w:pPr>
        <w:autoSpaceDE w:val="0"/>
        <w:spacing w:line="276" w:lineRule="auto"/>
        <w:jc w:val="both"/>
        <w:rPr>
          <w:rFonts w:ascii="Times New Roman" w:hAnsi="Times New Roman"/>
          <w:color w:val="000000"/>
          <w:sz w:val="24"/>
          <w:szCs w:val="24"/>
        </w:rPr>
      </w:pPr>
      <w:r>
        <w:rPr>
          <w:rFonts w:ascii="Times New Roman" w:hAnsi="Times New Roman"/>
          <w:sz w:val="24"/>
          <w:szCs w:val="24"/>
        </w:rPr>
        <w:t>Analiza lat poprzednich wykazuje dużą zmienność podatku od czynności cywilnoprawnych.</w:t>
      </w:r>
      <w:r w:rsidR="00AC4D2C">
        <w:rPr>
          <w:rFonts w:ascii="Times New Roman" w:hAnsi="Times New Roman"/>
          <w:sz w:val="24"/>
          <w:szCs w:val="24"/>
        </w:rPr>
        <w:t xml:space="preserve"> </w:t>
      </w:r>
      <w:r>
        <w:rPr>
          <w:rFonts w:ascii="Times New Roman" w:hAnsi="Times New Roman"/>
          <w:sz w:val="24"/>
          <w:szCs w:val="24"/>
        </w:rPr>
        <w:t xml:space="preserve">W 2015 r. planuje się osiągnięcie wpływów z podatku od czynności cywilnoprawnych </w:t>
      </w:r>
      <w:r w:rsidR="00AC4D2C">
        <w:rPr>
          <w:rFonts w:ascii="Times New Roman" w:hAnsi="Times New Roman"/>
          <w:sz w:val="24"/>
          <w:szCs w:val="24"/>
        </w:rPr>
        <w:br/>
      </w:r>
      <w:r>
        <w:rPr>
          <w:rFonts w:ascii="Times New Roman" w:hAnsi="Times New Roman"/>
          <w:sz w:val="24"/>
          <w:szCs w:val="24"/>
        </w:rPr>
        <w:t>na podstawie obowiązujących ustaw oraz przewidywanego wykonania dochodów w 2014 roku.</w:t>
      </w:r>
      <w:r w:rsidR="00AC4D2C">
        <w:rPr>
          <w:rFonts w:ascii="Times New Roman" w:hAnsi="Times New Roman"/>
          <w:color w:val="000000"/>
          <w:sz w:val="24"/>
          <w:szCs w:val="24"/>
        </w:rPr>
        <w:t xml:space="preserve"> </w:t>
      </w:r>
      <w:r>
        <w:rPr>
          <w:rFonts w:ascii="Times New Roman" w:hAnsi="Times New Roman"/>
          <w:color w:val="000000"/>
          <w:sz w:val="24"/>
          <w:szCs w:val="24"/>
        </w:rPr>
        <w:t>Nieznaczny wzrost o 9,68% w przypadku osób fizycznych i drastyczny spadek o 60% dla osób prawnych.</w:t>
      </w:r>
    </w:p>
    <w:p w:rsidR="00344C35" w:rsidRDefault="00FD32B3" w:rsidP="00AC4D2C">
      <w:pPr>
        <w:autoSpaceDE w:val="0"/>
        <w:spacing w:line="276" w:lineRule="auto"/>
        <w:jc w:val="both"/>
      </w:pPr>
      <w:r>
        <w:rPr>
          <w:rFonts w:ascii="Times New Roman" w:hAnsi="Times New Roman"/>
          <w:color w:val="000000"/>
          <w:sz w:val="24"/>
          <w:szCs w:val="24"/>
        </w:rPr>
        <w:t>W kolejnych latach zaplanowano w tej grupie nieznaczny wzrost w granicach 3%.</w:t>
      </w:r>
    </w:p>
    <w:p w:rsidR="00344C35" w:rsidRDefault="00FD32B3">
      <w:pPr>
        <w:autoSpaceDE w:val="0"/>
        <w:spacing w:line="276" w:lineRule="auto"/>
        <w:rPr>
          <w:rFonts w:ascii="Times New Roman" w:hAnsi="Times New Roman"/>
          <w:sz w:val="24"/>
          <w:szCs w:val="24"/>
          <w:u w:val="single"/>
        </w:rPr>
      </w:pPr>
      <w:r>
        <w:rPr>
          <w:rFonts w:ascii="Times New Roman" w:hAnsi="Times New Roman"/>
          <w:sz w:val="24"/>
          <w:szCs w:val="24"/>
          <w:u w:val="single"/>
        </w:rPr>
        <w:t>Podatek od spadków i darowizn</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Planuje się wpływy z tego podatku na poziomie 165.000 zł w 2015 r., co stanowi wzrost </w:t>
      </w:r>
      <w:r w:rsidR="00AC4D2C">
        <w:rPr>
          <w:rFonts w:ascii="Times New Roman" w:hAnsi="Times New Roman"/>
          <w:sz w:val="24"/>
          <w:szCs w:val="24"/>
        </w:rPr>
        <w:br/>
      </w:r>
      <w:r>
        <w:rPr>
          <w:rFonts w:ascii="Times New Roman" w:hAnsi="Times New Roman"/>
          <w:sz w:val="24"/>
          <w:szCs w:val="24"/>
        </w:rPr>
        <w:t xml:space="preserve">o około 147,65% w stosunku do 2014 roku. Dochody te oszacowano na podstawie wykonania za III kwartały 2014 roku z uwzględnieniem należności wymagalnych, które wynosiły 11.065,38 zł. W latach 2016 – 2018 założono wzrost o 3%. </w:t>
      </w:r>
    </w:p>
    <w:p w:rsidR="00344C35" w:rsidRDefault="00FD32B3" w:rsidP="00AC4D2C">
      <w:pPr>
        <w:autoSpaceDE w:val="0"/>
        <w:spacing w:line="276" w:lineRule="auto"/>
        <w:jc w:val="both"/>
      </w:pPr>
      <w:r>
        <w:rPr>
          <w:rFonts w:ascii="Times New Roman" w:hAnsi="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344C35" w:rsidRDefault="00FD32B3">
      <w:pPr>
        <w:autoSpaceDE w:val="0"/>
        <w:spacing w:line="276" w:lineRule="auto"/>
        <w:rPr>
          <w:rFonts w:ascii="Times New Roman" w:hAnsi="Times New Roman"/>
          <w:sz w:val="24"/>
          <w:szCs w:val="24"/>
          <w:u w:val="single"/>
        </w:rPr>
      </w:pPr>
      <w:r>
        <w:rPr>
          <w:rFonts w:ascii="Times New Roman" w:hAnsi="Times New Roman"/>
          <w:sz w:val="24"/>
          <w:szCs w:val="24"/>
          <w:u w:val="single"/>
        </w:rPr>
        <w:t>Karta podatkowa</w:t>
      </w:r>
    </w:p>
    <w:p w:rsidR="00344C35" w:rsidRDefault="00FD32B3" w:rsidP="00AC4D2C">
      <w:pPr>
        <w:autoSpaceDE w:val="0"/>
        <w:spacing w:line="276" w:lineRule="auto"/>
        <w:jc w:val="both"/>
      </w:pPr>
      <w:r>
        <w:rPr>
          <w:rFonts w:ascii="Times New Roman" w:hAnsi="Times New Roman"/>
          <w:sz w:val="24"/>
          <w:szCs w:val="24"/>
        </w:rPr>
        <w:t>W 2015 r. założono  realizację dochodów z tego tytułu na poziomie 49.000 zł tj. o 16,67% wyższym niż w 2014 roku. Wzrost ten podyktowany jest uwzględnieniem wykonania za III kwartały 2014 oraz przewidywanym wykonaniem na koniec  2014 roku.</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Dla kolejnych lat 2016 – 2018  przyjęto 3% wskaźnik wzrostu</w:t>
      </w:r>
    </w:p>
    <w:p w:rsidR="00344C35" w:rsidRDefault="00FD32B3">
      <w:pPr>
        <w:autoSpaceDE w:val="0"/>
        <w:spacing w:line="276" w:lineRule="auto"/>
        <w:rPr>
          <w:rFonts w:ascii="Times New Roman,Bold" w:hAnsi="Times New Roman,Bold" w:cs="Times New Roman,Bold"/>
          <w:b/>
          <w:bCs/>
          <w:sz w:val="24"/>
          <w:szCs w:val="24"/>
        </w:rPr>
      </w:pPr>
      <w:r>
        <w:rPr>
          <w:rFonts w:ascii="Times New Roman,Bold" w:hAnsi="Times New Roman,Bold" w:cs="Times New Roman,Bold"/>
          <w:b/>
          <w:bCs/>
          <w:sz w:val="24"/>
          <w:szCs w:val="24"/>
        </w:rPr>
        <w:t>SUBWENCJA OGÓLNA Z BUDŻETU PAŃSTWA</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Bazą do prognozy poziomu subwencji ogólnej jest przyjęty plan na 2015 r. podany przez dysponenta -  Ministerstwo Finansów. </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 2015 r. założono wzrost o 5,79% w stosunku do planu 2014 r. dla subwencji oświatowej, natomiast subwencja wyrównawcza ma wzrosnąć o 4,61% w stosunku do planu na koniec III kwartału 2014 roku. </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 xml:space="preserve">W dłuższej perspektywie ustalono prognozowany 2,5% wzrost. </w:t>
      </w:r>
    </w:p>
    <w:p w:rsidR="00344C35" w:rsidRDefault="00FD32B3">
      <w:pPr>
        <w:autoSpaceDE w:val="0"/>
        <w:spacing w:line="276" w:lineRule="auto"/>
        <w:rPr>
          <w:rFonts w:ascii="Times New Roman" w:hAnsi="Times New Roman"/>
          <w:b/>
          <w:bCs/>
          <w:sz w:val="24"/>
          <w:szCs w:val="24"/>
        </w:rPr>
      </w:pPr>
      <w:r>
        <w:rPr>
          <w:rFonts w:ascii="Times New Roman" w:hAnsi="Times New Roman"/>
          <w:b/>
          <w:bCs/>
          <w:sz w:val="24"/>
          <w:szCs w:val="24"/>
        </w:rPr>
        <w:t>DOCHODY Z DOTACJI CELOWYCH Z BUDŻETU PAŃSTWA NA ZADANIA</w:t>
      </w:r>
    </w:p>
    <w:p w:rsidR="00344C35" w:rsidRDefault="00FD32B3">
      <w:pPr>
        <w:autoSpaceDE w:val="0"/>
        <w:spacing w:line="276" w:lineRule="auto"/>
        <w:rPr>
          <w:rFonts w:ascii="Times New Roman" w:hAnsi="Times New Roman"/>
          <w:b/>
          <w:bCs/>
          <w:sz w:val="24"/>
          <w:szCs w:val="24"/>
        </w:rPr>
      </w:pPr>
      <w:r>
        <w:rPr>
          <w:rFonts w:ascii="Times New Roman" w:hAnsi="Times New Roman"/>
          <w:b/>
          <w:bCs/>
          <w:sz w:val="24"/>
          <w:szCs w:val="24"/>
        </w:rPr>
        <w:t>BIEŻĄCE</w:t>
      </w:r>
    </w:p>
    <w:p w:rsidR="00344C35" w:rsidRDefault="00FD32B3" w:rsidP="00AC4D2C">
      <w:pPr>
        <w:autoSpaceDE w:val="0"/>
        <w:spacing w:line="276" w:lineRule="auto"/>
        <w:jc w:val="both"/>
      </w:pPr>
      <w:r>
        <w:rPr>
          <w:rFonts w:ascii="Times New Roman" w:hAnsi="Times New Roman"/>
          <w:sz w:val="24"/>
          <w:szCs w:val="24"/>
        </w:rPr>
        <w:t>Dochody z tytułu dotacji celowych z budżetu państwa na zadania własne, zlecone zostały oszacowane w latach 201</w:t>
      </w:r>
      <w:r w:rsidR="00843DF3">
        <w:rPr>
          <w:rFonts w:ascii="Times New Roman" w:hAnsi="Times New Roman"/>
          <w:sz w:val="24"/>
          <w:szCs w:val="24"/>
        </w:rPr>
        <w:t>6</w:t>
      </w:r>
      <w:r>
        <w:rPr>
          <w:rFonts w:ascii="Times New Roman" w:hAnsi="Times New Roman"/>
          <w:sz w:val="24"/>
          <w:szCs w:val="24"/>
        </w:rPr>
        <w:t xml:space="preserve">-2025 z uwzględnieniem ok. 2,5% wzrostu. </w:t>
      </w:r>
    </w:p>
    <w:p w:rsidR="00344C35" w:rsidRDefault="00FD32B3" w:rsidP="00AC4D2C">
      <w:pPr>
        <w:autoSpaceDE w:val="0"/>
        <w:spacing w:line="276" w:lineRule="auto"/>
        <w:jc w:val="both"/>
        <w:rPr>
          <w:rFonts w:ascii="Times New Roman" w:hAnsi="Times New Roman"/>
          <w:sz w:val="24"/>
          <w:szCs w:val="24"/>
        </w:rPr>
      </w:pPr>
      <w:r>
        <w:rPr>
          <w:rFonts w:ascii="Times New Roman" w:hAnsi="Times New Roman"/>
          <w:sz w:val="24"/>
          <w:szCs w:val="24"/>
        </w:rPr>
        <w:t>Dotacje celowe z budżetu państwa zostały przyjęte na poziomie zgodnym z informacją</w:t>
      </w:r>
      <w:r w:rsidR="00AC4D2C">
        <w:rPr>
          <w:rFonts w:ascii="Times New Roman" w:hAnsi="Times New Roman"/>
          <w:sz w:val="24"/>
          <w:szCs w:val="24"/>
        </w:rPr>
        <w:t xml:space="preserve"> </w:t>
      </w:r>
      <w:r>
        <w:rPr>
          <w:rFonts w:ascii="Times New Roman" w:hAnsi="Times New Roman"/>
          <w:sz w:val="24"/>
          <w:szCs w:val="24"/>
        </w:rPr>
        <w:t xml:space="preserve">Wojewody Wielkopolskiego, dotyczącą wysokości dotacji na zadania z zakresu administracji rządowej i dotacji na realizację zadań własnych na 2015 rok oraz prognozowane na 2015 rok udziały w dochodach związanych z realizacją zadań z zakresu administracji rządowej. </w:t>
      </w:r>
    </w:p>
    <w:p w:rsidR="00344C35" w:rsidRDefault="00FD32B3">
      <w:pPr>
        <w:autoSpaceDE w:val="0"/>
        <w:spacing w:line="276" w:lineRule="auto"/>
        <w:rPr>
          <w:rFonts w:ascii="Times New Roman" w:hAnsi="Times New Roman"/>
          <w:b/>
          <w:bCs/>
          <w:sz w:val="24"/>
          <w:szCs w:val="24"/>
        </w:rPr>
      </w:pPr>
      <w:r>
        <w:rPr>
          <w:rFonts w:ascii="Times New Roman" w:hAnsi="Times New Roman"/>
          <w:b/>
          <w:bCs/>
          <w:sz w:val="24"/>
          <w:szCs w:val="24"/>
        </w:rPr>
        <w:t>POZOSTAŁE DOCHODY</w:t>
      </w:r>
    </w:p>
    <w:p w:rsidR="00344C35" w:rsidRDefault="00FD32B3">
      <w:pPr>
        <w:spacing w:line="276" w:lineRule="auto"/>
      </w:pPr>
      <w:r>
        <w:rPr>
          <w:rFonts w:ascii="Times New Roman" w:hAnsi="Times New Roman"/>
          <w:sz w:val="24"/>
          <w:szCs w:val="24"/>
        </w:rPr>
        <w:t>W grupie tej zostały ujęte dochody nie przypisane do wyżej opisanych grup dochodów, które zaplanowano na poziomie przewidywanego wykonania  w 2014 roku.</w:t>
      </w:r>
    </w:p>
    <w:p w:rsidR="00344C35" w:rsidRDefault="00344C35">
      <w:pPr>
        <w:autoSpaceDE w:val="0"/>
        <w:rPr>
          <w:rFonts w:ascii="Times New Roman" w:hAnsi="Times New Roman"/>
          <w:b/>
          <w:bCs/>
          <w:color w:val="000000"/>
          <w:sz w:val="24"/>
          <w:szCs w:val="24"/>
        </w:rPr>
      </w:pPr>
    </w:p>
    <w:p w:rsidR="00344C35" w:rsidRDefault="00FD32B3">
      <w:pPr>
        <w:autoSpaceDE w:val="0"/>
        <w:rPr>
          <w:rFonts w:ascii="Times New Roman" w:hAnsi="Times New Roman"/>
          <w:b/>
          <w:bCs/>
          <w:color w:val="000000"/>
          <w:sz w:val="24"/>
          <w:szCs w:val="24"/>
        </w:rPr>
      </w:pPr>
      <w:r>
        <w:rPr>
          <w:rFonts w:ascii="Times New Roman" w:hAnsi="Times New Roman"/>
          <w:b/>
          <w:bCs/>
          <w:color w:val="000000"/>
          <w:sz w:val="24"/>
          <w:szCs w:val="24"/>
        </w:rPr>
        <w:lastRenderedPageBreak/>
        <w:t>DOCHODY MAJĄTKOWE</w:t>
      </w:r>
    </w:p>
    <w:p w:rsidR="00344C35" w:rsidRDefault="00344C35">
      <w:pPr>
        <w:autoSpaceDE w:val="0"/>
        <w:jc w:val="center"/>
        <w:rPr>
          <w:rFonts w:ascii="Times New Roman" w:hAnsi="Times New Roman"/>
          <w:b/>
          <w:bCs/>
          <w:sz w:val="24"/>
          <w:szCs w:val="24"/>
        </w:rPr>
      </w:pPr>
    </w:p>
    <w:p w:rsidR="00344C35" w:rsidRDefault="00FD32B3">
      <w:pPr>
        <w:autoSpaceDE w:val="0"/>
        <w:jc w:val="center"/>
      </w:pPr>
      <w:r>
        <w:rPr>
          <w:noProof/>
          <w:lang w:eastAsia="pl-PL"/>
        </w:rPr>
        <w:drawing>
          <wp:inline distT="0" distB="0" distL="0" distR="0">
            <wp:extent cx="4848221" cy="1876421"/>
            <wp:effectExtent l="0" t="0" r="0" b="0"/>
            <wp:docPr id="2" name="irc_mi" descr="http://plynnoscfinansowa.files.wordpress.com/2012/07/wykres4.jpg?w=4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rcRect/>
                    <a:stretch>
                      <a:fillRect/>
                    </a:stretch>
                  </pic:blipFill>
                  <pic:spPr>
                    <a:xfrm>
                      <a:off x="0" y="0"/>
                      <a:ext cx="4848221" cy="1876421"/>
                    </a:xfrm>
                    <a:prstGeom prst="rect">
                      <a:avLst/>
                    </a:prstGeom>
                    <a:noFill/>
                    <a:ln>
                      <a:noFill/>
                      <a:prstDash/>
                    </a:ln>
                  </pic:spPr>
                </pic:pic>
              </a:graphicData>
            </a:graphic>
          </wp:inline>
        </w:drawing>
      </w:r>
    </w:p>
    <w:p w:rsidR="00344C35" w:rsidRDefault="00FD32B3">
      <w:pPr>
        <w:autoSpaceDE w:val="0"/>
        <w:rPr>
          <w:rFonts w:ascii="Times New Roman" w:hAnsi="Times New Roman"/>
          <w:b/>
          <w:bCs/>
          <w:sz w:val="24"/>
          <w:szCs w:val="24"/>
        </w:rPr>
      </w:pPr>
      <w:r>
        <w:rPr>
          <w:rFonts w:ascii="Times New Roman" w:hAnsi="Times New Roman"/>
          <w:b/>
          <w:bCs/>
          <w:sz w:val="24"/>
          <w:szCs w:val="24"/>
        </w:rPr>
        <w:t>DOCHODY ZE SPRZEDAŻY MAJĄTKU</w:t>
      </w:r>
    </w:p>
    <w:p w:rsidR="00344C35" w:rsidRDefault="00FD32B3" w:rsidP="00963137">
      <w:pPr>
        <w:autoSpaceDE w:val="0"/>
        <w:jc w:val="both"/>
        <w:rPr>
          <w:rFonts w:ascii="Times New Roman" w:hAnsi="Times New Roman"/>
          <w:sz w:val="24"/>
          <w:szCs w:val="24"/>
        </w:rPr>
      </w:pPr>
      <w:r>
        <w:rPr>
          <w:rFonts w:ascii="Times New Roman" w:hAnsi="Times New Roman"/>
          <w:sz w:val="24"/>
          <w:szCs w:val="24"/>
        </w:rPr>
        <w:t>Dokonano oceny posiadanego przez Gminę mienia komunalnego przeznaczonego na</w:t>
      </w:r>
      <w:r w:rsidR="00963137">
        <w:rPr>
          <w:rFonts w:ascii="Times New Roman" w:hAnsi="Times New Roman"/>
          <w:sz w:val="24"/>
          <w:szCs w:val="24"/>
        </w:rPr>
        <w:t xml:space="preserve"> </w:t>
      </w:r>
      <w:r>
        <w:rPr>
          <w:rFonts w:ascii="Times New Roman" w:hAnsi="Times New Roman"/>
          <w:sz w:val="24"/>
          <w:szCs w:val="24"/>
        </w:rPr>
        <w:t>sprzedaż w kolejnych latach. Ujęto w Wieloletniej Prognozie Finansowej</w:t>
      </w:r>
      <w:r w:rsidR="00963137">
        <w:rPr>
          <w:rFonts w:ascii="Times New Roman" w:hAnsi="Times New Roman"/>
          <w:sz w:val="24"/>
          <w:szCs w:val="24"/>
        </w:rPr>
        <w:t xml:space="preserve"> </w:t>
      </w:r>
      <w:r>
        <w:rPr>
          <w:rFonts w:ascii="Times New Roman" w:hAnsi="Times New Roman"/>
          <w:sz w:val="24"/>
          <w:szCs w:val="24"/>
        </w:rPr>
        <w:t>uprawdopodobnione wielkości dochodów ze sprzedaży mienia. Dochody ze sprzedaży, na</w:t>
      </w:r>
      <w:r w:rsidR="00963137">
        <w:rPr>
          <w:rFonts w:ascii="Times New Roman" w:hAnsi="Times New Roman"/>
          <w:sz w:val="24"/>
          <w:szCs w:val="24"/>
        </w:rPr>
        <w:t xml:space="preserve"> </w:t>
      </w:r>
      <w:r>
        <w:rPr>
          <w:rFonts w:ascii="Times New Roman" w:hAnsi="Times New Roman"/>
          <w:sz w:val="24"/>
          <w:szCs w:val="24"/>
        </w:rPr>
        <w:t xml:space="preserve">które złożyły </w:t>
      </w:r>
      <w:r w:rsidR="00963137">
        <w:rPr>
          <w:rFonts w:ascii="Times New Roman" w:hAnsi="Times New Roman"/>
          <w:sz w:val="24"/>
          <w:szCs w:val="24"/>
        </w:rPr>
        <w:br/>
      </w:r>
      <w:r>
        <w:rPr>
          <w:rFonts w:ascii="Times New Roman" w:hAnsi="Times New Roman"/>
          <w:sz w:val="24"/>
          <w:szCs w:val="24"/>
        </w:rPr>
        <w:t xml:space="preserve">się dochody ze: zbycia działek, lokali mieszkalnych. W roku 2015 planowane dochody </w:t>
      </w:r>
      <w:r w:rsidR="00963137">
        <w:rPr>
          <w:rFonts w:ascii="Times New Roman" w:hAnsi="Times New Roman"/>
          <w:sz w:val="24"/>
          <w:szCs w:val="24"/>
        </w:rPr>
        <w:br/>
      </w:r>
      <w:r>
        <w:rPr>
          <w:rFonts w:ascii="Times New Roman" w:hAnsi="Times New Roman"/>
          <w:sz w:val="24"/>
          <w:szCs w:val="24"/>
        </w:rPr>
        <w:t>ze sprzedaży mienia to 1.500.000 zł, w 2016 i 2017 kwota 1.000.000 zł.</w:t>
      </w:r>
    </w:p>
    <w:p w:rsidR="00344C35" w:rsidRDefault="00FD32B3" w:rsidP="00963137">
      <w:pPr>
        <w:autoSpaceDE w:val="0"/>
        <w:jc w:val="both"/>
        <w:rPr>
          <w:rFonts w:ascii="Times New Roman" w:hAnsi="Times New Roman"/>
          <w:sz w:val="24"/>
          <w:szCs w:val="24"/>
        </w:rPr>
      </w:pPr>
      <w:r>
        <w:rPr>
          <w:rFonts w:ascii="Times New Roman" w:hAnsi="Times New Roman"/>
          <w:sz w:val="24"/>
          <w:szCs w:val="24"/>
        </w:rPr>
        <w:t xml:space="preserve">Realność wpływów w tej grupie dochodów jest bardzo duża. Plany w zakresie dochodów </w:t>
      </w:r>
      <w:r w:rsidR="00963137">
        <w:rPr>
          <w:rFonts w:ascii="Times New Roman" w:hAnsi="Times New Roman"/>
          <w:sz w:val="24"/>
          <w:szCs w:val="24"/>
        </w:rPr>
        <w:br/>
      </w:r>
      <w:r>
        <w:rPr>
          <w:rFonts w:ascii="Times New Roman" w:hAnsi="Times New Roman"/>
          <w:sz w:val="24"/>
          <w:szCs w:val="24"/>
        </w:rPr>
        <w:t>ze sprzedaży mienia opieramy na podstawie przyjętych założeń:</w:t>
      </w:r>
    </w:p>
    <w:p w:rsidR="00344C35" w:rsidRDefault="00FD32B3" w:rsidP="00963137">
      <w:pPr>
        <w:autoSpaceDE w:val="0"/>
        <w:jc w:val="both"/>
        <w:rPr>
          <w:rFonts w:ascii="Times New Roman" w:hAnsi="Times New Roman"/>
          <w:sz w:val="24"/>
          <w:szCs w:val="24"/>
        </w:rPr>
      </w:pPr>
      <w:r>
        <w:rPr>
          <w:rFonts w:ascii="Times New Roman" w:hAnsi="Times New Roman"/>
          <w:sz w:val="24"/>
          <w:szCs w:val="24"/>
        </w:rPr>
        <w:t>1) Poprawa koniunktury na rynku nieruchomości,</w:t>
      </w:r>
    </w:p>
    <w:p w:rsidR="00344C35" w:rsidRDefault="00FD32B3" w:rsidP="00963137">
      <w:pPr>
        <w:autoSpaceDE w:val="0"/>
        <w:jc w:val="both"/>
        <w:rPr>
          <w:rFonts w:ascii="Times New Roman" w:hAnsi="Times New Roman"/>
          <w:sz w:val="24"/>
          <w:szCs w:val="24"/>
        </w:rPr>
      </w:pPr>
      <w:r>
        <w:rPr>
          <w:rFonts w:ascii="Times New Roman" w:hAnsi="Times New Roman"/>
          <w:sz w:val="24"/>
          <w:szCs w:val="24"/>
        </w:rPr>
        <w:t>2) Utrzymanie minimalnego poziomu cen gruntów przeznaczonych pod zabudowę na poziomie 30-40 zł/netto/m2,</w:t>
      </w:r>
    </w:p>
    <w:p w:rsidR="00344C35" w:rsidRDefault="00FD32B3" w:rsidP="00963137">
      <w:pPr>
        <w:autoSpaceDE w:val="0"/>
        <w:jc w:val="both"/>
        <w:rPr>
          <w:rFonts w:ascii="Times New Roman" w:hAnsi="Times New Roman"/>
          <w:sz w:val="24"/>
          <w:szCs w:val="24"/>
        </w:rPr>
      </w:pPr>
      <w:r>
        <w:rPr>
          <w:rFonts w:ascii="Times New Roman" w:hAnsi="Times New Roman"/>
          <w:sz w:val="24"/>
          <w:szCs w:val="24"/>
        </w:rPr>
        <w:t xml:space="preserve">3) Sprzedaż mienia wg wykazu: </w:t>
      </w:r>
    </w:p>
    <w:tbl>
      <w:tblPr>
        <w:tblW w:w="9229" w:type="dxa"/>
        <w:tblCellMar>
          <w:left w:w="10" w:type="dxa"/>
          <w:right w:w="10" w:type="dxa"/>
        </w:tblCellMar>
        <w:tblLook w:val="0000" w:firstRow="0" w:lastRow="0" w:firstColumn="0" w:lastColumn="0" w:noHBand="0" w:noVBand="0"/>
      </w:tblPr>
      <w:tblGrid>
        <w:gridCol w:w="960"/>
        <w:gridCol w:w="5718"/>
        <w:gridCol w:w="2551"/>
      </w:tblGrid>
      <w:tr w:rsidR="00344C35">
        <w:trPr>
          <w:trHeight w:hRule="exact" w:val="454"/>
        </w:trPr>
        <w:tc>
          <w:tcPr>
            <w:tcW w:w="96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b/>
                <w:bCs/>
                <w:color w:val="000000"/>
                <w:lang w:eastAsia="pl-PL"/>
              </w:rPr>
            </w:pPr>
            <w:r>
              <w:rPr>
                <w:rFonts w:ascii="Times New Roman" w:eastAsia="Times New Roman" w:hAnsi="Times New Roman"/>
                <w:b/>
                <w:bCs/>
                <w:color w:val="000000"/>
                <w:lang w:eastAsia="pl-PL"/>
              </w:rPr>
              <w:t>LP</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b/>
                <w:bCs/>
                <w:color w:val="000000"/>
                <w:lang w:eastAsia="pl-PL"/>
              </w:rPr>
            </w:pPr>
            <w:r>
              <w:rPr>
                <w:rFonts w:ascii="Times New Roman" w:eastAsia="Times New Roman" w:hAnsi="Times New Roman"/>
                <w:b/>
                <w:bCs/>
                <w:color w:val="000000"/>
                <w:lang w:eastAsia="pl-PL"/>
              </w:rPr>
              <w:t>Przedmiot zbycia</w:t>
            </w:r>
          </w:p>
        </w:tc>
        <w:tc>
          <w:tcPr>
            <w:tcW w:w="2551"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b/>
                <w:bCs/>
                <w:color w:val="000000"/>
                <w:lang w:eastAsia="pl-PL"/>
              </w:rPr>
            </w:pPr>
            <w:r>
              <w:rPr>
                <w:rFonts w:ascii="Times New Roman" w:eastAsia="Times New Roman" w:hAnsi="Times New Roman"/>
                <w:b/>
                <w:bCs/>
                <w:color w:val="000000"/>
                <w:lang w:eastAsia="pl-PL"/>
              </w:rPr>
              <w:t>Cena wywoławcza netto</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dz. nr: 286/1 o pow.821m</w:t>
            </w:r>
            <w:r>
              <w:rPr>
                <w:rFonts w:ascii="Times New Roman" w:eastAsia="Times New Roman" w:hAnsi="Times New Roman"/>
                <w:color w:val="000000"/>
                <w:sz w:val="20"/>
                <w:szCs w:val="20"/>
                <w:vertAlign w:val="superscript"/>
                <w:lang w:eastAsia="pl-PL"/>
              </w:rPr>
              <w:t>2</w:t>
            </w:r>
            <w:r>
              <w:rPr>
                <w:rFonts w:ascii="Times New Roman" w:eastAsia="Times New Roman" w:hAnsi="Times New Roman"/>
                <w:color w:val="000000"/>
                <w:sz w:val="20"/>
                <w:szCs w:val="20"/>
                <w:lang w:eastAsia="pl-PL"/>
              </w:rPr>
              <w:t>, Jaracz, gm. Rogoźno</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w:t>
            </w:r>
          </w:p>
        </w:tc>
        <w:tc>
          <w:tcPr>
            <w:tcW w:w="5718"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286/2 o pow.830m</w:t>
            </w:r>
            <w:r>
              <w:rPr>
                <w:rFonts w:ascii="Times New Roman" w:eastAsia="Times New Roman" w:hAnsi="Times New Roman"/>
                <w:color w:val="000000"/>
                <w:sz w:val="20"/>
                <w:szCs w:val="20"/>
                <w:vertAlign w:val="superscript"/>
                <w:lang w:eastAsia="pl-PL"/>
              </w:rPr>
              <w:t>2</w:t>
            </w:r>
            <w:r>
              <w:rPr>
                <w:rFonts w:ascii="Times New Roman" w:eastAsia="Times New Roman" w:hAnsi="Times New Roman"/>
                <w:color w:val="000000"/>
                <w:sz w:val="20"/>
                <w:szCs w:val="20"/>
                <w:lang w:eastAsia="pl-PL"/>
              </w:rPr>
              <w:t xml:space="preserve"> Jaracz, gm. Rogoźno</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3</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dz. 2413/6 o pow.2.364m</w:t>
            </w:r>
            <w:r>
              <w:rPr>
                <w:rFonts w:ascii="Times New Roman" w:eastAsia="Times New Roman" w:hAnsi="Times New Roman"/>
                <w:color w:val="000000"/>
                <w:sz w:val="20"/>
                <w:szCs w:val="20"/>
                <w:vertAlign w:val="superscript"/>
                <w:lang w:eastAsia="pl-PL"/>
              </w:rPr>
              <w:t>2</w:t>
            </w:r>
            <w:r>
              <w:rPr>
                <w:rFonts w:ascii="Times New Roman" w:eastAsia="Times New Roman" w:hAnsi="Times New Roman"/>
                <w:color w:val="000000"/>
                <w:sz w:val="20"/>
                <w:szCs w:val="20"/>
                <w:lang w:eastAsia="pl-PL"/>
              </w:rPr>
              <w:t>,</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42 500,00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w:t>
            </w:r>
          </w:p>
        </w:tc>
        <w:tc>
          <w:tcPr>
            <w:tcW w:w="5718"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kompleks 8 działek u zbiegu Szerokiej i Południowej</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400 000,00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Działka nr 284/2 o pow. 1,0646ha</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124 000,00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6</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Działka 62/7 o pow.348m</w:t>
            </w:r>
            <w:r>
              <w:rPr>
                <w:rFonts w:ascii="Times New Roman" w:eastAsia="Times New Roman" w:hAnsi="Times New Roman"/>
                <w:color w:val="000000"/>
                <w:sz w:val="20"/>
                <w:szCs w:val="20"/>
                <w:vertAlign w:val="superscript"/>
                <w:lang w:eastAsia="pl-PL"/>
              </w:rPr>
              <w:t>2</w:t>
            </w:r>
            <w:r>
              <w:rPr>
                <w:rFonts w:ascii="Times New Roman" w:eastAsia="Times New Roman" w:hAnsi="Times New Roman"/>
                <w:color w:val="000000"/>
                <w:sz w:val="20"/>
                <w:szCs w:val="20"/>
                <w:lang w:eastAsia="pl-PL"/>
              </w:rPr>
              <w:t>, Jaracz</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15 000,00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działki nr 28 i 28/2 położone w </w:t>
            </w:r>
            <w:proofErr w:type="spellStart"/>
            <w:r>
              <w:rPr>
                <w:rFonts w:ascii="Times New Roman" w:eastAsia="Times New Roman" w:hAnsi="Times New Roman"/>
                <w:color w:val="000000"/>
                <w:sz w:val="20"/>
                <w:szCs w:val="20"/>
                <w:lang w:eastAsia="pl-PL"/>
              </w:rPr>
              <w:t>Laskowie</w:t>
            </w:r>
            <w:proofErr w:type="spellEnd"/>
            <w:r>
              <w:rPr>
                <w:rFonts w:ascii="Times New Roman" w:eastAsia="Times New Roman" w:hAnsi="Times New Roman"/>
                <w:color w:val="000000"/>
                <w:sz w:val="20"/>
                <w:szCs w:val="20"/>
                <w:lang w:eastAsia="pl-PL"/>
              </w:rPr>
              <w:t xml:space="preserve"> pow. 0,97ha</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70 000,00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8</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Działka 74/2, 2,20ha, Boguniewo</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150 000,00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w:t>
            </w:r>
          </w:p>
        </w:tc>
        <w:tc>
          <w:tcPr>
            <w:tcW w:w="5718"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Działka 63/1 o pow.4.512m</w:t>
            </w:r>
            <w:r>
              <w:rPr>
                <w:rFonts w:ascii="Times New Roman" w:eastAsia="Times New Roman" w:hAnsi="Times New Roman"/>
                <w:color w:val="000000"/>
                <w:sz w:val="20"/>
                <w:szCs w:val="20"/>
                <w:vertAlign w:val="superscript"/>
                <w:lang w:eastAsia="pl-PL"/>
              </w:rPr>
              <w:t xml:space="preserve">2, </w:t>
            </w:r>
            <w:r>
              <w:rPr>
                <w:rFonts w:ascii="Times New Roman" w:eastAsia="Times New Roman" w:hAnsi="Times New Roman"/>
                <w:color w:val="000000"/>
                <w:sz w:val="20"/>
                <w:szCs w:val="20"/>
                <w:lang w:eastAsia="pl-PL"/>
              </w:rPr>
              <w:t>Jaracz</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95 000,00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10</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pPr>
            <w:r>
              <w:rPr>
                <w:rFonts w:ascii="Times New Roman" w:eastAsia="Times New Roman" w:hAnsi="Times New Roman"/>
                <w:color w:val="000000"/>
                <w:sz w:val="20"/>
                <w:szCs w:val="20"/>
                <w:lang w:eastAsia="pl-PL"/>
              </w:rPr>
              <w:t>Działka 63/3 o pow.1.843m</w:t>
            </w:r>
            <w:r>
              <w:rPr>
                <w:rFonts w:ascii="Times New Roman" w:eastAsia="Times New Roman" w:hAnsi="Times New Roman"/>
                <w:color w:val="000000"/>
                <w:sz w:val="20"/>
                <w:szCs w:val="20"/>
                <w:vertAlign w:val="superscript"/>
                <w:lang w:eastAsia="pl-PL"/>
              </w:rPr>
              <w:t>2</w:t>
            </w:r>
            <w:r>
              <w:rPr>
                <w:rFonts w:ascii="Times New Roman" w:eastAsia="Times New Roman" w:hAnsi="Times New Roman"/>
                <w:color w:val="000000"/>
                <w:sz w:val="20"/>
                <w:szCs w:val="20"/>
                <w:lang w:eastAsia="pl-PL"/>
              </w:rPr>
              <w:t>, Jaracz</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50 000,00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11</w:t>
            </w:r>
          </w:p>
        </w:tc>
        <w:tc>
          <w:tcPr>
            <w:tcW w:w="5718"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Kompleks 18 działek na ulicy Skrajnej i Łamanej</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595 500,00 zł</w:t>
            </w:r>
          </w:p>
        </w:tc>
      </w:tr>
      <w:tr w:rsidR="00344C35">
        <w:trPr>
          <w:trHeight w:hRule="exact" w:val="454"/>
        </w:trPr>
        <w:tc>
          <w:tcPr>
            <w:tcW w:w="96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12 </w:t>
            </w:r>
          </w:p>
        </w:tc>
        <w:tc>
          <w:tcPr>
            <w:tcW w:w="5718"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Minimalne postąpienie przetargowe</w:t>
            </w:r>
          </w:p>
        </w:tc>
        <w:tc>
          <w:tcPr>
            <w:tcW w:w="255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16 020,00 zł</w:t>
            </w:r>
          </w:p>
        </w:tc>
      </w:tr>
      <w:tr w:rsidR="00344C35">
        <w:trPr>
          <w:trHeight w:hRule="exact" w:val="454"/>
        </w:trPr>
        <w:tc>
          <w:tcPr>
            <w:tcW w:w="6678" w:type="dxa"/>
            <w:gridSpan w:val="2"/>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b/>
                <w:bCs/>
                <w:color w:val="000000"/>
                <w:sz w:val="20"/>
                <w:szCs w:val="20"/>
                <w:lang w:eastAsia="pl-PL"/>
              </w:rPr>
            </w:pPr>
            <w:r>
              <w:rPr>
                <w:rFonts w:ascii="Times New Roman" w:eastAsia="Times New Roman" w:hAnsi="Times New Roman"/>
                <w:b/>
                <w:bCs/>
                <w:color w:val="000000"/>
                <w:sz w:val="20"/>
                <w:szCs w:val="20"/>
                <w:lang w:eastAsia="pl-PL"/>
              </w:rPr>
              <w:t>SUMA</w:t>
            </w:r>
          </w:p>
        </w:tc>
        <w:tc>
          <w:tcPr>
            <w:tcW w:w="255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344C35" w:rsidRDefault="00FD32B3">
            <w:pPr>
              <w:suppressAutoHyphens w:val="0"/>
              <w:spacing w:after="0"/>
              <w:jc w:val="center"/>
              <w:textAlignment w:val="auto"/>
              <w:rPr>
                <w:rFonts w:ascii="Times New Roman" w:eastAsia="Times New Roman" w:hAnsi="Times New Roman"/>
                <w:b/>
                <w:bCs/>
                <w:color w:val="000000"/>
                <w:sz w:val="20"/>
                <w:szCs w:val="20"/>
                <w:lang w:eastAsia="pl-PL"/>
              </w:rPr>
            </w:pPr>
            <w:r>
              <w:rPr>
                <w:rFonts w:ascii="Times New Roman" w:eastAsia="Times New Roman" w:hAnsi="Times New Roman"/>
                <w:b/>
                <w:bCs/>
                <w:color w:val="000000"/>
                <w:sz w:val="20"/>
                <w:szCs w:val="20"/>
                <w:lang w:eastAsia="pl-PL"/>
              </w:rPr>
              <w:t>1 618 020,00zł</w:t>
            </w:r>
          </w:p>
        </w:tc>
      </w:tr>
    </w:tbl>
    <w:p w:rsidR="00344C35" w:rsidRDefault="00FD32B3">
      <w:r>
        <w:rPr>
          <w:rFonts w:ascii="Times New Roman" w:hAnsi="Times New Roman"/>
          <w:sz w:val="24"/>
          <w:szCs w:val="24"/>
        </w:rPr>
        <w:lastRenderedPageBreak/>
        <w:t>Prognoza nie zakłada wpływów ze sprzedaży majątku od 2018 r.</w:t>
      </w:r>
    </w:p>
    <w:p w:rsidR="00344C35" w:rsidRDefault="00FD32B3">
      <w:pPr>
        <w:autoSpaceDE w:val="0"/>
        <w:spacing w:line="276" w:lineRule="auto"/>
        <w:rPr>
          <w:rFonts w:ascii="Times New Roman" w:hAnsi="Times New Roman"/>
          <w:b/>
          <w:bCs/>
          <w:sz w:val="28"/>
          <w:szCs w:val="28"/>
        </w:rPr>
      </w:pPr>
      <w:r>
        <w:rPr>
          <w:rFonts w:ascii="Times New Roman" w:hAnsi="Times New Roman"/>
          <w:b/>
          <w:bCs/>
          <w:sz w:val="28"/>
          <w:szCs w:val="28"/>
        </w:rPr>
        <w:t>2.3. Założenia przyjęte do prognozy wydatków budżetu</w:t>
      </w:r>
    </w:p>
    <w:p w:rsidR="00344C35" w:rsidRDefault="00FD32B3" w:rsidP="00963137">
      <w:pPr>
        <w:autoSpaceDE w:val="0"/>
        <w:spacing w:line="276" w:lineRule="auto"/>
        <w:ind w:firstLine="708"/>
        <w:jc w:val="both"/>
        <w:rPr>
          <w:rFonts w:ascii="Times New Roman" w:hAnsi="Times New Roman"/>
          <w:sz w:val="24"/>
          <w:szCs w:val="24"/>
        </w:rPr>
      </w:pPr>
      <w:r>
        <w:rPr>
          <w:rFonts w:ascii="Times New Roman" w:hAnsi="Times New Roman"/>
          <w:sz w:val="24"/>
          <w:szCs w:val="24"/>
        </w:rPr>
        <w:t>Prognoza wydatków w kolejnych latach oparta została na prognozowanym wykonaniu wydatków bieżących w 2014r, przy uwzględnieniu nieznacznego ich wzrostu w kolejnych latach WPF. A to za sprawą działań rządu, które polegają między innymi na mechanizmie ograniczający</w:t>
      </w:r>
      <w:r w:rsidR="00963137">
        <w:rPr>
          <w:rFonts w:ascii="Times New Roman" w:hAnsi="Times New Roman"/>
          <w:sz w:val="24"/>
          <w:szCs w:val="24"/>
        </w:rPr>
        <w:t>m wzrost wydatków publicznych.</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Prognozę wydatków oparto na założeniu art.242 ust.1 ustawy o finansach</w:t>
      </w:r>
      <w:r w:rsidR="00963137">
        <w:rPr>
          <w:rFonts w:ascii="Times New Roman" w:hAnsi="Times New Roman"/>
          <w:sz w:val="24"/>
          <w:szCs w:val="24"/>
        </w:rPr>
        <w:t xml:space="preserve"> </w:t>
      </w:r>
      <w:r>
        <w:rPr>
          <w:rFonts w:ascii="Times New Roman" w:hAnsi="Times New Roman"/>
          <w:sz w:val="24"/>
          <w:szCs w:val="24"/>
        </w:rPr>
        <w:t xml:space="preserve">publicznych, </w:t>
      </w:r>
      <w:r w:rsidR="00963137">
        <w:rPr>
          <w:rFonts w:ascii="Times New Roman" w:hAnsi="Times New Roman"/>
          <w:sz w:val="24"/>
          <w:szCs w:val="24"/>
        </w:rPr>
        <w:br/>
      </w:r>
      <w:r>
        <w:rPr>
          <w:rFonts w:ascii="Times New Roman" w:hAnsi="Times New Roman"/>
          <w:sz w:val="24"/>
          <w:szCs w:val="24"/>
        </w:rPr>
        <w:t>w świetle którego nie można uchwalić budżetu w którym planowane wydatki</w:t>
      </w:r>
      <w:r w:rsidR="00963137">
        <w:rPr>
          <w:rFonts w:ascii="Times New Roman" w:hAnsi="Times New Roman"/>
          <w:sz w:val="24"/>
          <w:szCs w:val="24"/>
        </w:rPr>
        <w:t xml:space="preserve"> </w:t>
      </w:r>
      <w:r>
        <w:rPr>
          <w:rFonts w:ascii="Times New Roman" w:hAnsi="Times New Roman"/>
          <w:sz w:val="24"/>
          <w:szCs w:val="24"/>
        </w:rPr>
        <w:t xml:space="preserve">bieżące </w:t>
      </w:r>
      <w:r w:rsidR="00963137">
        <w:rPr>
          <w:rFonts w:ascii="Times New Roman" w:hAnsi="Times New Roman"/>
          <w:sz w:val="24"/>
          <w:szCs w:val="24"/>
        </w:rPr>
        <w:br/>
      </w:r>
      <w:r>
        <w:rPr>
          <w:rFonts w:ascii="Times New Roman" w:hAnsi="Times New Roman"/>
          <w:sz w:val="24"/>
          <w:szCs w:val="24"/>
        </w:rPr>
        <w:t>są wyższe niż planowane dochody bieżące ewentualnie powiększone o nadwyżkę</w:t>
      </w:r>
      <w:r w:rsidR="00963137">
        <w:rPr>
          <w:rFonts w:ascii="Times New Roman" w:hAnsi="Times New Roman"/>
          <w:sz w:val="24"/>
          <w:szCs w:val="24"/>
        </w:rPr>
        <w:t xml:space="preserve"> </w:t>
      </w:r>
      <w:r>
        <w:rPr>
          <w:rFonts w:ascii="Times New Roman" w:hAnsi="Times New Roman"/>
          <w:sz w:val="24"/>
          <w:szCs w:val="24"/>
        </w:rPr>
        <w:t xml:space="preserve">budżetową z lat ubiegłych i wolne środki. </w:t>
      </w:r>
    </w:p>
    <w:p w:rsidR="00344C35" w:rsidRDefault="00FD32B3">
      <w:pPr>
        <w:autoSpaceDE w:val="0"/>
      </w:pPr>
      <w:r>
        <w:rPr>
          <w:rFonts w:ascii="Times New Roman" w:hAnsi="Times New Roman"/>
          <w:b/>
          <w:bCs/>
          <w:sz w:val="24"/>
          <w:szCs w:val="24"/>
        </w:rPr>
        <w:t>GRUPY WYDATK</w:t>
      </w:r>
      <w:r>
        <w:rPr>
          <w:rFonts w:ascii="Times New Roman,Bold" w:hAnsi="Times New Roman,Bold" w:cs="Times New Roman,Bold"/>
          <w:b/>
          <w:bCs/>
          <w:sz w:val="24"/>
          <w:szCs w:val="24"/>
        </w:rPr>
        <w:t>ÓW:</w:t>
      </w:r>
    </w:p>
    <w:p w:rsidR="00344C35" w:rsidRDefault="00FD32B3">
      <w:pPr>
        <w:autoSpaceDE w:val="0"/>
        <w:spacing w:line="276" w:lineRule="auto"/>
        <w:rPr>
          <w:rFonts w:ascii="Times New Roman" w:hAnsi="Times New Roman"/>
          <w:b/>
          <w:i/>
          <w:sz w:val="24"/>
          <w:szCs w:val="24"/>
        </w:rPr>
      </w:pPr>
      <w:r>
        <w:rPr>
          <w:rFonts w:ascii="Times New Roman" w:hAnsi="Times New Roman"/>
          <w:b/>
          <w:i/>
          <w:sz w:val="24"/>
          <w:szCs w:val="24"/>
        </w:rPr>
        <w:t>1. Wynagrodzenia i składki od nich naliczane:</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Całość wydatków ponoszonych z budżetu na wynagrodzenia i pochodne od wynagrodzeń</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to kwota 20.</w:t>
      </w:r>
      <w:r w:rsidR="005A4076">
        <w:rPr>
          <w:rFonts w:ascii="Times New Roman" w:hAnsi="Times New Roman"/>
          <w:sz w:val="24"/>
          <w:szCs w:val="24"/>
        </w:rPr>
        <w:t>051</w:t>
      </w:r>
      <w:r>
        <w:rPr>
          <w:rFonts w:ascii="Times New Roman" w:hAnsi="Times New Roman"/>
          <w:sz w:val="24"/>
          <w:szCs w:val="24"/>
        </w:rPr>
        <w:t>.</w:t>
      </w:r>
      <w:r w:rsidR="005A4076">
        <w:rPr>
          <w:rFonts w:ascii="Times New Roman" w:hAnsi="Times New Roman"/>
          <w:sz w:val="24"/>
          <w:szCs w:val="24"/>
        </w:rPr>
        <w:t>936,</w:t>
      </w:r>
      <w:r>
        <w:rPr>
          <w:rFonts w:ascii="Times New Roman" w:hAnsi="Times New Roman"/>
          <w:sz w:val="24"/>
          <w:szCs w:val="24"/>
        </w:rPr>
        <w:t xml:space="preserve">33 zł w 2015 r. z tego: </w:t>
      </w:r>
    </w:p>
    <w:p w:rsidR="00344C35" w:rsidRDefault="00FD32B3" w:rsidP="00963137">
      <w:pPr>
        <w:pStyle w:val="Akapitzlist"/>
        <w:numPr>
          <w:ilvl w:val="0"/>
          <w:numId w:val="2"/>
        </w:numPr>
        <w:autoSpaceDE w:val="0"/>
        <w:spacing w:line="276" w:lineRule="auto"/>
        <w:jc w:val="both"/>
        <w:rPr>
          <w:rFonts w:ascii="Times New Roman" w:hAnsi="Times New Roman"/>
          <w:sz w:val="24"/>
          <w:szCs w:val="24"/>
        </w:rPr>
      </w:pPr>
      <w:r>
        <w:rPr>
          <w:rFonts w:ascii="Times New Roman" w:hAnsi="Times New Roman"/>
          <w:sz w:val="24"/>
          <w:szCs w:val="24"/>
        </w:rPr>
        <w:t xml:space="preserve">Oświata – 15.247.951 zł tj. </w:t>
      </w:r>
      <w:r w:rsidR="005A4076">
        <w:rPr>
          <w:rFonts w:ascii="Times New Roman" w:hAnsi="Times New Roman"/>
          <w:sz w:val="24"/>
          <w:szCs w:val="24"/>
        </w:rPr>
        <w:t>76,04</w:t>
      </w:r>
      <w:r>
        <w:rPr>
          <w:rFonts w:ascii="Times New Roman" w:hAnsi="Times New Roman"/>
          <w:sz w:val="24"/>
          <w:szCs w:val="24"/>
        </w:rPr>
        <w:t>%,</w:t>
      </w:r>
    </w:p>
    <w:p w:rsidR="00344C35" w:rsidRDefault="00FD32B3" w:rsidP="00963137">
      <w:pPr>
        <w:pStyle w:val="Akapitzlist"/>
        <w:numPr>
          <w:ilvl w:val="0"/>
          <w:numId w:val="2"/>
        </w:numPr>
        <w:autoSpaceDE w:val="0"/>
        <w:spacing w:line="276" w:lineRule="auto"/>
        <w:jc w:val="both"/>
        <w:rPr>
          <w:rFonts w:ascii="Times New Roman" w:hAnsi="Times New Roman"/>
          <w:sz w:val="24"/>
          <w:szCs w:val="24"/>
        </w:rPr>
      </w:pPr>
      <w:r>
        <w:rPr>
          <w:rFonts w:ascii="Times New Roman" w:hAnsi="Times New Roman"/>
          <w:sz w:val="24"/>
          <w:szCs w:val="24"/>
        </w:rPr>
        <w:t>GOPS – 1.472.603 zł tj. 7,3</w:t>
      </w:r>
      <w:r w:rsidR="005A4076">
        <w:rPr>
          <w:rFonts w:ascii="Times New Roman" w:hAnsi="Times New Roman"/>
          <w:sz w:val="24"/>
          <w:szCs w:val="24"/>
        </w:rPr>
        <w:t>4</w:t>
      </w:r>
      <w:r>
        <w:rPr>
          <w:rFonts w:ascii="Times New Roman" w:hAnsi="Times New Roman"/>
          <w:sz w:val="24"/>
          <w:szCs w:val="24"/>
        </w:rPr>
        <w:t>%,</w:t>
      </w:r>
    </w:p>
    <w:p w:rsidR="00344C35" w:rsidRDefault="00FD32B3" w:rsidP="00963137">
      <w:pPr>
        <w:pStyle w:val="Akapitzlist"/>
        <w:numPr>
          <w:ilvl w:val="0"/>
          <w:numId w:val="2"/>
        </w:numPr>
        <w:autoSpaceDE w:val="0"/>
        <w:spacing w:line="276" w:lineRule="auto"/>
        <w:jc w:val="both"/>
        <w:rPr>
          <w:rFonts w:ascii="Times New Roman" w:hAnsi="Times New Roman"/>
          <w:sz w:val="24"/>
          <w:szCs w:val="24"/>
        </w:rPr>
      </w:pPr>
      <w:r>
        <w:rPr>
          <w:rFonts w:ascii="Times New Roman" w:hAnsi="Times New Roman"/>
          <w:sz w:val="24"/>
          <w:szCs w:val="24"/>
        </w:rPr>
        <w:t>Administracja – 3.038.640,43 zł tj. 15,</w:t>
      </w:r>
      <w:r w:rsidR="005A4076">
        <w:rPr>
          <w:rFonts w:ascii="Times New Roman" w:hAnsi="Times New Roman"/>
          <w:sz w:val="24"/>
          <w:szCs w:val="24"/>
        </w:rPr>
        <w:t>16</w:t>
      </w:r>
      <w:r>
        <w:rPr>
          <w:rFonts w:ascii="Times New Roman" w:hAnsi="Times New Roman"/>
          <w:sz w:val="24"/>
          <w:szCs w:val="24"/>
        </w:rPr>
        <w:t>%,</w:t>
      </w:r>
    </w:p>
    <w:p w:rsidR="00344C35" w:rsidRDefault="00FD32B3" w:rsidP="00963137">
      <w:pPr>
        <w:pStyle w:val="Akapitzlist"/>
        <w:numPr>
          <w:ilvl w:val="0"/>
          <w:numId w:val="2"/>
        </w:numPr>
        <w:autoSpaceDE w:val="0"/>
        <w:spacing w:line="276" w:lineRule="auto"/>
        <w:jc w:val="both"/>
        <w:rPr>
          <w:rFonts w:ascii="Times New Roman" w:hAnsi="Times New Roman"/>
          <w:sz w:val="24"/>
          <w:szCs w:val="24"/>
        </w:rPr>
      </w:pPr>
      <w:r>
        <w:rPr>
          <w:rFonts w:ascii="Times New Roman" w:hAnsi="Times New Roman"/>
          <w:sz w:val="24"/>
          <w:szCs w:val="24"/>
        </w:rPr>
        <w:t xml:space="preserve">Pozostałe – </w:t>
      </w:r>
      <w:r w:rsidR="005A4076">
        <w:rPr>
          <w:rFonts w:ascii="Times New Roman" w:hAnsi="Times New Roman"/>
          <w:sz w:val="24"/>
          <w:szCs w:val="24"/>
        </w:rPr>
        <w:t>292.741,90</w:t>
      </w:r>
      <w:r>
        <w:rPr>
          <w:rFonts w:ascii="Times New Roman" w:hAnsi="Times New Roman"/>
          <w:sz w:val="24"/>
          <w:szCs w:val="24"/>
        </w:rPr>
        <w:t xml:space="preserve"> zł tj. 1,</w:t>
      </w:r>
      <w:r w:rsidR="005A4076">
        <w:rPr>
          <w:rFonts w:ascii="Times New Roman" w:hAnsi="Times New Roman"/>
          <w:sz w:val="24"/>
          <w:szCs w:val="24"/>
        </w:rPr>
        <w:t>46</w:t>
      </w:r>
      <w:r>
        <w:rPr>
          <w:rFonts w:ascii="Times New Roman" w:hAnsi="Times New Roman"/>
          <w:sz w:val="24"/>
          <w:szCs w:val="24"/>
        </w:rPr>
        <w:t>%</w:t>
      </w:r>
    </w:p>
    <w:p w:rsidR="00344C35" w:rsidRDefault="00FD32B3">
      <w:pPr>
        <w:rPr>
          <w:rFonts w:ascii="Times New Roman" w:hAnsi="Times New Roman"/>
          <w:b/>
          <w:sz w:val="24"/>
          <w:szCs w:val="24"/>
        </w:rPr>
      </w:pPr>
      <w:r>
        <w:rPr>
          <w:rFonts w:ascii="Times New Roman" w:hAnsi="Times New Roman"/>
          <w:b/>
          <w:sz w:val="24"/>
          <w:szCs w:val="24"/>
        </w:rPr>
        <w:t>Wykres 1</w:t>
      </w:r>
    </w:p>
    <w:p w:rsidR="00344C35" w:rsidRDefault="00FD32B3">
      <w:pPr>
        <w:rPr>
          <w:rFonts w:ascii="Times New Roman" w:hAnsi="Times New Roman"/>
          <w:b/>
          <w:i/>
          <w:sz w:val="24"/>
          <w:szCs w:val="24"/>
          <w:u w:val="single"/>
        </w:rPr>
      </w:pPr>
      <w:r>
        <w:rPr>
          <w:rFonts w:ascii="Times New Roman" w:hAnsi="Times New Roman"/>
          <w:b/>
          <w:i/>
          <w:sz w:val="24"/>
          <w:szCs w:val="24"/>
          <w:u w:val="single"/>
        </w:rPr>
        <w:t>Udział poszczególnych działów wynagrodzeń do ogółu wynagrodzeń – dane dla roku 2015</w:t>
      </w:r>
    </w:p>
    <w:p w:rsidR="00344C35" w:rsidRDefault="00FD32B3">
      <w:pPr>
        <w:autoSpaceDE w:val="0"/>
        <w:spacing w:line="360" w:lineRule="auto"/>
      </w:pPr>
      <w:r>
        <w:rPr>
          <w:noProof/>
          <w:lang w:eastAsia="pl-PL"/>
        </w:rPr>
        <w:drawing>
          <wp:inline distT="0" distB="0" distL="0" distR="0">
            <wp:extent cx="5638803" cy="2781303"/>
            <wp:effectExtent l="0" t="0" r="0" b="0"/>
            <wp:docPr id="3"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44C35" w:rsidRDefault="00FD32B3" w:rsidP="00963137">
      <w:pPr>
        <w:autoSpaceDE w:val="0"/>
        <w:spacing w:line="360" w:lineRule="auto"/>
        <w:jc w:val="both"/>
        <w:rPr>
          <w:rFonts w:ascii="Times New Roman" w:hAnsi="Times New Roman"/>
          <w:color w:val="000000"/>
          <w:sz w:val="24"/>
          <w:szCs w:val="24"/>
        </w:rPr>
      </w:pPr>
      <w:r>
        <w:rPr>
          <w:rFonts w:ascii="Times New Roman" w:hAnsi="Times New Roman"/>
          <w:color w:val="000000"/>
          <w:sz w:val="24"/>
          <w:szCs w:val="24"/>
        </w:rPr>
        <w:tab/>
        <w:t xml:space="preserve">W 2015 roku zaplanowano 3% wzrost wynagrodzeń dla pracowników administracji </w:t>
      </w:r>
      <w:r w:rsidR="00963137">
        <w:rPr>
          <w:rFonts w:ascii="Times New Roman" w:hAnsi="Times New Roman"/>
          <w:color w:val="000000"/>
          <w:sz w:val="24"/>
          <w:szCs w:val="24"/>
        </w:rPr>
        <w:br/>
      </w:r>
      <w:r>
        <w:rPr>
          <w:rFonts w:ascii="Times New Roman" w:hAnsi="Times New Roman"/>
          <w:color w:val="000000"/>
          <w:sz w:val="24"/>
          <w:szCs w:val="24"/>
        </w:rPr>
        <w:t>i obsługi.</w:t>
      </w:r>
    </w:p>
    <w:p w:rsidR="00344C35" w:rsidRDefault="00FD32B3" w:rsidP="00963137">
      <w:pPr>
        <w:autoSpaceDE w:val="0"/>
        <w:spacing w:line="360" w:lineRule="auto"/>
        <w:jc w:val="both"/>
      </w:pPr>
      <w:r>
        <w:rPr>
          <w:rFonts w:ascii="Times New Roman" w:hAnsi="Times New Roman"/>
          <w:color w:val="000000"/>
          <w:sz w:val="24"/>
          <w:szCs w:val="24"/>
        </w:rPr>
        <w:t>W następnych latach założono wzrost wydatków na wynagrodzenia o ok.2,5%.</w:t>
      </w:r>
    </w:p>
    <w:p w:rsidR="00186BFF" w:rsidRDefault="00186BFF">
      <w:pPr>
        <w:autoSpaceDE w:val="0"/>
        <w:spacing w:line="276" w:lineRule="auto"/>
        <w:rPr>
          <w:rFonts w:ascii="Times New Roman" w:hAnsi="Times New Roman"/>
          <w:b/>
          <w:i/>
          <w:sz w:val="24"/>
          <w:szCs w:val="24"/>
        </w:rPr>
      </w:pPr>
    </w:p>
    <w:p w:rsidR="00344C35" w:rsidRDefault="00FD32B3">
      <w:pPr>
        <w:autoSpaceDE w:val="0"/>
        <w:spacing w:line="276" w:lineRule="auto"/>
        <w:rPr>
          <w:rFonts w:ascii="Times New Roman" w:hAnsi="Times New Roman"/>
          <w:b/>
          <w:i/>
          <w:sz w:val="24"/>
          <w:szCs w:val="24"/>
        </w:rPr>
      </w:pPr>
      <w:r>
        <w:rPr>
          <w:rFonts w:ascii="Times New Roman" w:hAnsi="Times New Roman"/>
          <w:b/>
          <w:i/>
          <w:sz w:val="24"/>
          <w:szCs w:val="24"/>
        </w:rPr>
        <w:lastRenderedPageBreak/>
        <w:t>2. Wydatki bieżące związane z funkcjonowaniem organów jednostki samorządu</w:t>
      </w:r>
    </w:p>
    <w:p w:rsidR="00344C35" w:rsidRDefault="00FD32B3">
      <w:pPr>
        <w:autoSpaceDE w:val="0"/>
        <w:spacing w:line="276" w:lineRule="auto"/>
        <w:rPr>
          <w:rFonts w:ascii="Times New Roman" w:hAnsi="Times New Roman"/>
          <w:b/>
          <w:i/>
          <w:sz w:val="24"/>
          <w:szCs w:val="24"/>
        </w:rPr>
      </w:pPr>
      <w:r>
        <w:rPr>
          <w:rFonts w:ascii="Times New Roman" w:hAnsi="Times New Roman"/>
          <w:b/>
          <w:i/>
          <w:sz w:val="24"/>
          <w:szCs w:val="24"/>
        </w:rPr>
        <w:t>terytorialnego,</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Do wydatków bieżących związanych z funkcjonowaniem organów jednostki samorządu</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terytorialnego zaliczono wydatki z rozdziałów 75022 i 75023. W 2015 r. suma wydatków</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bieżącyc</w:t>
      </w:r>
      <w:r w:rsidR="007A58C3">
        <w:rPr>
          <w:rFonts w:ascii="Times New Roman" w:hAnsi="Times New Roman"/>
          <w:sz w:val="24"/>
          <w:szCs w:val="24"/>
        </w:rPr>
        <w:t>h na ww. rozdziały to kwota 3.912</w:t>
      </w:r>
      <w:r>
        <w:rPr>
          <w:rFonts w:ascii="Times New Roman" w:hAnsi="Times New Roman"/>
          <w:sz w:val="24"/>
          <w:szCs w:val="24"/>
        </w:rPr>
        <w:t xml:space="preserve">.936,56 zł. </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W następnych latach tj. 2016-2025 założono systematyczny wzrost w przedziale 1%-2,5%.</w:t>
      </w:r>
    </w:p>
    <w:p w:rsidR="00344C35" w:rsidRDefault="00FD32B3">
      <w:pPr>
        <w:spacing w:line="276" w:lineRule="auto"/>
      </w:pPr>
      <w:r>
        <w:rPr>
          <w:rFonts w:ascii="Times New Roman" w:hAnsi="Times New Roman"/>
          <w:b/>
          <w:i/>
          <w:sz w:val="24"/>
          <w:szCs w:val="24"/>
        </w:rPr>
        <w:t>3. Wydatki bieżące</w:t>
      </w:r>
      <w:r>
        <w:rPr>
          <w:rFonts w:ascii="Times New Roman" w:hAnsi="Times New Roman"/>
          <w:sz w:val="24"/>
          <w:szCs w:val="24"/>
        </w:rPr>
        <w:t>,</w:t>
      </w:r>
    </w:p>
    <w:p w:rsidR="00344C35" w:rsidRDefault="00FD32B3">
      <w:pPr>
        <w:spacing w:line="276"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Wydatki bieżące zaplanowano na kwotę  45.7</w:t>
      </w:r>
      <w:r w:rsidR="007A58C3">
        <w:rPr>
          <w:rFonts w:ascii="Times New Roman" w:eastAsia="Times New Roman" w:hAnsi="Times New Roman"/>
          <w:sz w:val="24"/>
          <w:szCs w:val="24"/>
          <w:lang w:eastAsia="pl-PL"/>
        </w:rPr>
        <w:t>27</w:t>
      </w:r>
      <w:r>
        <w:rPr>
          <w:rFonts w:ascii="Times New Roman" w:eastAsia="Times New Roman" w:hAnsi="Times New Roman"/>
          <w:sz w:val="24"/>
          <w:szCs w:val="24"/>
          <w:lang w:eastAsia="pl-PL"/>
        </w:rPr>
        <w:t xml:space="preserve">.773,73 zł. w tym na odsetki od zaciągniętych kredytów i pożyczek 467.200,00 zł. </w:t>
      </w:r>
    </w:p>
    <w:p w:rsidR="00344C35" w:rsidRDefault="00FD32B3">
      <w:pPr>
        <w:spacing w:line="276" w:lineRule="auto"/>
      </w:pPr>
      <w:r>
        <w:rPr>
          <w:rFonts w:ascii="Times New Roman" w:hAnsi="Times New Roman"/>
          <w:sz w:val="24"/>
          <w:szCs w:val="24"/>
        </w:rPr>
        <w:t>Przyjęto globalny poziom wydatków bieżących, na poziomie przewidywanego ich wykonania w 2014 roku.</w:t>
      </w:r>
    </w:p>
    <w:p w:rsidR="00344C35" w:rsidRDefault="00FD32B3">
      <w:pPr>
        <w:suppressAutoHyphens w:val="0"/>
        <w:spacing w:after="0" w:line="276" w:lineRule="auto"/>
        <w:textAlignment w:val="auto"/>
      </w:pPr>
      <w:r>
        <w:rPr>
          <w:rFonts w:ascii="Times New Roman" w:eastAsia="Times New Roman" w:hAnsi="Times New Roman"/>
          <w:sz w:val="24"/>
          <w:szCs w:val="24"/>
          <w:lang w:eastAsia="pl-PL"/>
        </w:rPr>
        <w:t>Podobny wzrost wydatków bieżących wykazano w latach 2016-2025.</w:t>
      </w:r>
    </w:p>
    <w:p w:rsidR="00344C35" w:rsidRDefault="00FD32B3">
      <w:pPr>
        <w:rPr>
          <w:rFonts w:ascii="Times New Roman" w:hAnsi="Times New Roman"/>
          <w:b/>
          <w:sz w:val="24"/>
          <w:szCs w:val="24"/>
        </w:rPr>
      </w:pPr>
      <w:r>
        <w:rPr>
          <w:rFonts w:ascii="Times New Roman" w:hAnsi="Times New Roman"/>
          <w:b/>
          <w:sz w:val="24"/>
          <w:szCs w:val="24"/>
        </w:rPr>
        <w:t>Wykres 2</w:t>
      </w:r>
    </w:p>
    <w:p w:rsidR="00344C35" w:rsidRDefault="00FD32B3">
      <w:pPr>
        <w:rPr>
          <w:rFonts w:ascii="Times New Roman" w:hAnsi="Times New Roman"/>
          <w:b/>
          <w:i/>
          <w:sz w:val="24"/>
          <w:szCs w:val="24"/>
          <w:u w:val="single"/>
        </w:rPr>
      </w:pPr>
      <w:r>
        <w:rPr>
          <w:rFonts w:ascii="Times New Roman" w:hAnsi="Times New Roman"/>
          <w:b/>
          <w:i/>
          <w:sz w:val="24"/>
          <w:szCs w:val="24"/>
          <w:u w:val="single"/>
        </w:rPr>
        <w:t xml:space="preserve">Kształtowanie się wydatków bieżących, wynagrodzeń oraz wydatków związanych z funkcjonowaniem </w:t>
      </w:r>
      <w:proofErr w:type="spellStart"/>
      <w:r>
        <w:rPr>
          <w:rFonts w:ascii="Times New Roman" w:hAnsi="Times New Roman"/>
          <w:b/>
          <w:i/>
          <w:sz w:val="24"/>
          <w:szCs w:val="24"/>
          <w:u w:val="single"/>
        </w:rPr>
        <w:t>jst</w:t>
      </w:r>
      <w:proofErr w:type="spellEnd"/>
      <w:r>
        <w:rPr>
          <w:rFonts w:ascii="Times New Roman" w:hAnsi="Times New Roman"/>
          <w:b/>
          <w:i/>
          <w:sz w:val="24"/>
          <w:szCs w:val="24"/>
          <w:u w:val="single"/>
        </w:rPr>
        <w:t xml:space="preserve"> w latach Wieloletniej Prognozy Finansowej.</w:t>
      </w:r>
    </w:p>
    <w:p w:rsidR="00344C35" w:rsidRDefault="00FD32B3">
      <w:pPr>
        <w:jc w:val="both"/>
      </w:pPr>
      <w:r>
        <w:rPr>
          <w:u w:val="single"/>
        </w:rPr>
        <w:br/>
      </w:r>
      <w:r w:rsidR="009375AD">
        <w:rPr>
          <w:noProof/>
          <w:lang w:eastAsia="pl-PL"/>
        </w:rPr>
        <w:drawing>
          <wp:inline distT="0" distB="0" distL="0" distR="0" wp14:anchorId="2D08DA3E" wp14:editId="47A94534">
            <wp:extent cx="5648321" cy="2733671"/>
            <wp:effectExtent l="0" t="0" r="0" b="0"/>
            <wp:docPr id="4"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44C35" w:rsidRDefault="00FD32B3">
      <w:pPr>
        <w:jc w:val="both"/>
        <w:rPr>
          <w:rFonts w:ascii="Times New Roman" w:hAnsi="Times New Roman"/>
          <w:b/>
          <w:i/>
          <w:sz w:val="24"/>
          <w:szCs w:val="24"/>
        </w:rPr>
      </w:pPr>
      <w:r>
        <w:rPr>
          <w:rFonts w:ascii="Times New Roman" w:hAnsi="Times New Roman"/>
          <w:b/>
          <w:i/>
          <w:sz w:val="24"/>
          <w:szCs w:val="24"/>
        </w:rPr>
        <w:t>4.Wydatki majątkowe, do których zalicza się:</w:t>
      </w:r>
    </w:p>
    <w:p w:rsidR="00942187" w:rsidRDefault="00FD32B3" w:rsidP="00963137">
      <w:pPr>
        <w:numPr>
          <w:ilvl w:val="0"/>
          <w:numId w:val="3"/>
        </w:numPr>
        <w:spacing w:line="276" w:lineRule="auto"/>
        <w:jc w:val="both"/>
        <w:rPr>
          <w:rFonts w:ascii="Times New Roman" w:hAnsi="Times New Roman"/>
          <w:sz w:val="24"/>
          <w:szCs w:val="24"/>
        </w:rPr>
      </w:pPr>
      <w:r w:rsidRPr="00942187">
        <w:rPr>
          <w:rFonts w:ascii="Times New Roman" w:hAnsi="Times New Roman"/>
          <w:sz w:val="24"/>
          <w:szCs w:val="24"/>
        </w:rPr>
        <w:t xml:space="preserve">inwestycje i zakupy inwestycyjne, </w:t>
      </w:r>
    </w:p>
    <w:p w:rsidR="00344C35" w:rsidRPr="00942187" w:rsidRDefault="00FD32B3" w:rsidP="00942187">
      <w:pPr>
        <w:spacing w:line="276" w:lineRule="auto"/>
        <w:jc w:val="both"/>
        <w:rPr>
          <w:rFonts w:ascii="Times New Roman" w:hAnsi="Times New Roman"/>
          <w:sz w:val="24"/>
          <w:szCs w:val="24"/>
        </w:rPr>
      </w:pPr>
      <w:r w:rsidRPr="00942187">
        <w:rPr>
          <w:rFonts w:ascii="Times New Roman" w:hAnsi="Times New Roman"/>
          <w:sz w:val="24"/>
          <w:szCs w:val="24"/>
        </w:rPr>
        <w:t xml:space="preserve">Nakłady na wydatki majątkowe zaprezentowane poniżej, ponoszone są zgodnie z przyjętymi harmonogramami ich realizacji oraz uzależnione są od poszczególnych zatwierdzonych etapów przedsięwzięć. Ich wzrost nie jest uzależniony od wskaźnika inflacji czy żadnych obowiązujących wartości makroekonomicznych. </w:t>
      </w:r>
    </w:p>
    <w:p w:rsidR="00344C35" w:rsidRDefault="00FD32B3">
      <w:pPr>
        <w:spacing w:line="276" w:lineRule="auto"/>
        <w:jc w:val="both"/>
        <w:rPr>
          <w:rFonts w:ascii="Times New Roman" w:hAnsi="Times New Roman"/>
          <w:sz w:val="24"/>
          <w:szCs w:val="24"/>
        </w:rPr>
      </w:pPr>
      <w:r>
        <w:rPr>
          <w:rFonts w:ascii="Times New Roman" w:hAnsi="Times New Roman"/>
          <w:sz w:val="24"/>
          <w:szCs w:val="24"/>
        </w:rPr>
        <w:t>Kształtują się w poszczególnych latach następująco:</w:t>
      </w:r>
    </w:p>
    <w:p w:rsidR="00344C35" w:rsidRDefault="00FD32B3">
      <w:pPr>
        <w:numPr>
          <w:ilvl w:val="0"/>
          <w:numId w:val="4"/>
        </w:numPr>
        <w:spacing w:line="276" w:lineRule="auto"/>
        <w:jc w:val="both"/>
        <w:rPr>
          <w:rFonts w:ascii="Times New Roman" w:hAnsi="Times New Roman"/>
          <w:sz w:val="24"/>
          <w:szCs w:val="24"/>
        </w:rPr>
      </w:pPr>
      <w:r>
        <w:rPr>
          <w:rFonts w:ascii="Times New Roman" w:hAnsi="Times New Roman"/>
          <w:sz w:val="24"/>
          <w:szCs w:val="24"/>
        </w:rPr>
        <w:t>rok 2015 -     1.5</w:t>
      </w:r>
      <w:r w:rsidR="005A4076">
        <w:rPr>
          <w:rFonts w:ascii="Times New Roman" w:hAnsi="Times New Roman"/>
          <w:sz w:val="24"/>
          <w:szCs w:val="24"/>
        </w:rPr>
        <w:t>18</w:t>
      </w:r>
      <w:r>
        <w:rPr>
          <w:rFonts w:ascii="Times New Roman" w:hAnsi="Times New Roman"/>
          <w:sz w:val="24"/>
          <w:szCs w:val="24"/>
        </w:rPr>
        <w:t>.000 zł</w:t>
      </w:r>
    </w:p>
    <w:p w:rsidR="00344C35" w:rsidRDefault="00FD32B3">
      <w:pPr>
        <w:numPr>
          <w:ilvl w:val="0"/>
          <w:numId w:val="4"/>
        </w:numPr>
        <w:spacing w:line="276" w:lineRule="auto"/>
        <w:jc w:val="both"/>
        <w:rPr>
          <w:rFonts w:ascii="Times New Roman" w:hAnsi="Times New Roman"/>
          <w:sz w:val="24"/>
          <w:szCs w:val="24"/>
        </w:rPr>
      </w:pPr>
      <w:r>
        <w:rPr>
          <w:rFonts w:ascii="Times New Roman" w:hAnsi="Times New Roman"/>
          <w:sz w:val="24"/>
          <w:szCs w:val="24"/>
        </w:rPr>
        <w:t>rok 2016 -     1.000.000 zł</w:t>
      </w:r>
    </w:p>
    <w:p w:rsidR="00344C35" w:rsidRDefault="00FD32B3">
      <w:pPr>
        <w:numPr>
          <w:ilvl w:val="0"/>
          <w:numId w:val="4"/>
        </w:numPr>
        <w:spacing w:line="276" w:lineRule="auto"/>
        <w:jc w:val="both"/>
        <w:rPr>
          <w:rFonts w:ascii="Times New Roman" w:hAnsi="Times New Roman"/>
          <w:sz w:val="24"/>
          <w:szCs w:val="24"/>
        </w:rPr>
      </w:pPr>
      <w:r>
        <w:rPr>
          <w:rFonts w:ascii="Times New Roman" w:hAnsi="Times New Roman"/>
          <w:sz w:val="24"/>
          <w:szCs w:val="24"/>
        </w:rPr>
        <w:t>rok 2017 -     1.000.000 zł</w:t>
      </w:r>
      <w:r w:rsidR="00942187">
        <w:rPr>
          <w:rFonts w:ascii="Times New Roman" w:hAnsi="Times New Roman"/>
          <w:sz w:val="24"/>
          <w:szCs w:val="24"/>
        </w:rPr>
        <w:t>.</w:t>
      </w:r>
    </w:p>
    <w:p w:rsidR="00344C35" w:rsidRDefault="00FD32B3">
      <w:pPr>
        <w:spacing w:line="276" w:lineRule="auto"/>
        <w:jc w:val="both"/>
        <w:rPr>
          <w:rFonts w:ascii="Times New Roman" w:hAnsi="Times New Roman"/>
          <w:b/>
          <w:sz w:val="24"/>
          <w:szCs w:val="24"/>
          <w:u w:val="single"/>
        </w:rPr>
      </w:pPr>
      <w:r>
        <w:rPr>
          <w:rFonts w:ascii="Times New Roman" w:hAnsi="Times New Roman"/>
          <w:b/>
          <w:sz w:val="24"/>
          <w:szCs w:val="24"/>
          <w:u w:val="single"/>
        </w:rPr>
        <w:lastRenderedPageBreak/>
        <w:t>Wykaz realizowanych przedsięwzięć:</w:t>
      </w:r>
    </w:p>
    <w:p w:rsidR="00344C35" w:rsidRDefault="00FD32B3" w:rsidP="00963137">
      <w:pPr>
        <w:numPr>
          <w:ilvl w:val="0"/>
          <w:numId w:val="5"/>
        </w:numPr>
        <w:spacing w:line="276" w:lineRule="auto"/>
        <w:jc w:val="both"/>
      </w:pPr>
      <w:r>
        <w:rPr>
          <w:rFonts w:ascii="Times New Roman" w:hAnsi="Times New Roman"/>
          <w:b/>
          <w:i/>
          <w:sz w:val="24"/>
          <w:szCs w:val="24"/>
        </w:rPr>
        <w:t>„Zakup nieruchomości zabudowanej, położonej w Rogoźnie – działki 1508/2; 1512/3”</w:t>
      </w:r>
      <w:r>
        <w:rPr>
          <w:rFonts w:ascii="Times New Roman" w:hAnsi="Times New Roman"/>
          <w:sz w:val="24"/>
          <w:szCs w:val="24"/>
        </w:rPr>
        <w:t xml:space="preserve"> –  przedsięwzięcie zaplanowano na lata 2014-2016.  Druga rata zapłaty za nabycie nieruchomości zabudowanej, położonej w Rogoźnie (nieruchomość po Agrobiznesie). Trzecia rata płatna w 2016 roku.</w:t>
      </w:r>
    </w:p>
    <w:p w:rsidR="00344C35" w:rsidRDefault="00FD32B3" w:rsidP="00963137">
      <w:pPr>
        <w:numPr>
          <w:ilvl w:val="0"/>
          <w:numId w:val="5"/>
        </w:numPr>
        <w:spacing w:line="276" w:lineRule="auto"/>
        <w:jc w:val="both"/>
      </w:pPr>
      <w:r>
        <w:rPr>
          <w:rFonts w:ascii="Times New Roman" w:hAnsi="Times New Roman"/>
          <w:b/>
          <w:i/>
          <w:sz w:val="24"/>
          <w:szCs w:val="24"/>
        </w:rPr>
        <w:t>„ Dofinansowanie zakupu średniego samochodu ratowniczo – gaśniczego dla OSP Parkowo”</w:t>
      </w:r>
      <w:r>
        <w:rPr>
          <w:rFonts w:ascii="Times New Roman" w:hAnsi="Times New Roman"/>
          <w:b/>
          <w:sz w:val="24"/>
          <w:szCs w:val="24"/>
        </w:rPr>
        <w:t xml:space="preserve">  - </w:t>
      </w:r>
      <w:r>
        <w:rPr>
          <w:rFonts w:ascii="Times New Roman" w:hAnsi="Times New Roman"/>
          <w:sz w:val="24"/>
          <w:szCs w:val="24"/>
        </w:rPr>
        <w:t>umowa została podpisana w 2014 roku w ramach zadania „ Poprawa bezpieczeństwa środowiskowego i ekologicznego na obszarze Województwa Wielkopolskiego poprzez zakup samochodów dla OSP w ramach KSRG – etap III”</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lub zakupy inwestycyjne realizowane  tylko </w:t>
      </w:r>
      <w:r w:rsidR="00963137">
        <w:rPr>
          <w:rFonts w:ascii="Times New Roman" w:hAnsi="Times New Roman"/>
          <w:sz w:val="24"/>
          <w:szCs w:val="24"/>
        </w:rPr>
        <w:br/>
      </w:r>
      <w:r>
        <w:rPr>
          <w:rFonts w:ascii="Times New Roman" w:hAnsi="Times New Roman"/>
          <w:sz w:val="24"/>
          <w:szCs w:val="24"/>
        </w:rPr>
        <w:t>w jednym roku.</w:t>
      </w:r>
    </w:p>
    <w:p w:rsidR="00344C35" w:rsidRDefault="00FD32B3">
      <w:pPr>
        <w:autoSpaceDE w:val="0"/>
        <w:rPr>
          <w:rFonts w:ascii="Times New Roman" w:hAnsi="Times New Roman"/>
          <w:b/>
          <w:bCs/>
          <w:sz w:val="28"/>
          <w:szCs w:val="28"/>
        </w:rPr>
      </w:pPr>
      <w:r>
        <w:rPr>
          <w:rFonts w:ascii="Times New Roman" w:hAnsi="Times New Roman"/>
          <w:b/>
          <w:bCs/>
          <w:sz w:val="28"/>
          <w:szCs w:val="28"/>
        </w:rPr>
        <w:t>2.4. Przychody i rozchody budżetu jednostki samorządu</w:t>
      </w:r>
    </w:p>
    <w:p w:rsidR="00344C35" w:rsidRDefault="00FD32B3">
      <w:pPr>
        <w:autoSpaceDE w:val="0"/>
        <w:rPr>
          <w:rFonts w:ascii="Times New Roman" w:hAnsi="Times New Roman"/>
          <w:b/>
          <w:bCs/>
          <w:sz w:val="28"/>
          <w:szCs w:val="28"/>
        </w:rPr>
      </w:pPr>
      <w:r>
        <w:rPr>
          <w:rFonts w:ascii="Times New Roman" w:hAnsi="Times New Roman"/>
          <w:b/>
          <w:bCs/>
          <w:sz w:val="28"/>
          <w:szCs w:val="28"/>
        </w:rPr>
        <w:t>terytorialnego, z uwzględnieniem długu zaciągniętego oraz</w:t>
      </w:r>
    </w:p>
    <w:p w:rsidR="00344C35" w:rsidRDefault="00FD32B3">
      <w:pPr>
        <w:autoSpaceDE w:val="0"/>
        <w:rPr>
          <w:rFonts w:ascii="Times New Roman" w:hAnsi="Times New Roman"/>
          <w:b/>
          <w:bCs/>
          <w:sz w:val="28"/>
          <w:szCs w:val="28"/>
        </w:rPr>
      </w:pPr>
      <w:r>
        <w:rPr>
          <w:rFonts w:ascii="Times New Roman" w:hAnsi="Times New Roman"/>
          <w:b/>
          <w:bCs/>
          <w:sz w:val="28"/>
          <w:szCs w:val="28"/>
        </w:rPr>
        <w:t>planowanego do zaciągnięcia</w:t>
      </w:r>
    </w:p>
    <w:p w:rsidR="00344C35" w:rsidRDefault="00FD32B3" w:rsidP="00963137">
      <w:pPr>
        <w:suppressAutoHyphens w:val="0"/>
        <w:autoSpaceDE w:val="0"/>
        <w:spacing w:after="0" w:line="276" w:lineRule="auto"/>
        <w:ind w:firstLine="708"/>
        <w:jc w:val="both"/>
        <w:textAlignment w:val="auto"/>
      </w:pPr>
      <w:r>
        <w:rPr>
          <w:rFonts w:ascii="Times New Roman" w:hAnsi="Times New Roman"/>
          <w:sz w:val="24"/>
          <w:szCs w:val="24"/>
        </w:rPr>
        <w:t>Zgodnie z art. 217 ust. 1 ustawy o finansach publicznych różnica pomiędzy dochodami a wydatkami stanowi wynik budżetu jednostki samorządu terytorialnego. Dodatnia różnica to nadwyżka budżetowa, ujemna - to deficyt budżetu .</w:t>
      </w:r>
    </w:p>
    <w:p w:rsidR="00344C35" w:rsidRDefault="00FD32B3" w:rsidP="00963137">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 xml:space="preserve">W latach 2015-2025 planuje się budżet z </w:t>
      </w:r>
      <w:r w:rsidR="00942187">
        <w:rPr>
          <w:rFonts w:ascii="Times New Roman" w:hAnsi="Times New Roman"/>
          <w:sz w:val="24"/>
          <w:szCs w:val="24"/>
        </w:rPr>
        <w:t>nadwyżką</w:t>
      </w:r>
      <w:r>
        <w:rPr>
          <w:rFonts w:ascii="Times New Roman" w:hAnsi="Times New Roman"/>
          <w:sz w:val="24"/>
          <w:szCs w:val="24"/>
        </w:rPr>
        <w:t>.</w:t>
      </w:r>
    </w:p>
    <w:p w:rsidR="00344C35" w:rsidRDefault="00FD32B3" w:rsidP="00963137">
      <w:pPr>
        <w:suppressAutoHyphens w:val="0"/>
        <w:autoSpaceDE w:val="0"/>
        <w:spacing w:after="0" w:line="276" w:lineRule="auto"/>
        <w:jc w:val="both"/>
        <w:textAlignment w:val="auto"/>
      </w:pPr>
      <w:r>
        <w:rPr>
          <w:rFonts w:ascii="Times New Roman" w:hAnsi="Times New Roman"/>
          <w:sz w:val="24"/>
          <w:szCs w:val="24"/>
        </w:rPr>
        <w:t xml:space="preserve">Zgodnie z obowiązującym prawem Gmina korzystała i od 2015 roku nie planuje korzystać </w:t>
      </w:r>
      <w:r w:rsidR="00963137">
        <w:rPr>
          <w:rFonts w:ascii="Times New Roman" w:hAnsi="Times New Roman"/>
          <w:sz w:val="24"/>
          <w:szCs w:val="24"/>
        </w:rPr>
        <w:br/>
      </w:r>
      <w:r>
        <w:rPr>
          <w:rFonts w:ascii="Times New Roman" w:hAnsi="Times New Roman"/>
          <w:sz w:val="24"/>
          <w:szCs w:val="24"/>
        </w:rPr>
        <w:t>z instrumentu finansowego jakim jest dług publiczny.</w:t>
      </w:r>
    </w:p>
    <w:p w:rsidR="00344C35" w:rsidRDefault="00FD32B3" w:rsidP="00963137">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Dług publiczny jak wiadomo kierowany jest na potrzeby pożyczkowe, które rozumie się jako</w:t>
      </w:r>
      <w:r w:rsidR="00963137">
        <w:rPr>
          <w:rFonts w:ascii="Times New Roman" w:hAnsi="Times New Roman"/>
          <w:sz w:val="24"/>
          <w:szCs w:val="24"/>
        </w:rPr>
        <w:t xml:space="preserve"> </w:t>
      </w:r>
      <w:r>
        <w:rPr>
          <w:rFonts w:ascii="Times New Roman" w:hAnsi="Times New Roman"/>
          <w:sz w:val="24"/>
          <w:szCs w:val="24"/>
        </w:rPr>
        <w:t>zapotrzebowanie na środki finansowe niezbędne do:</w:t>
      </w:r>
    </w:p>
    <w:p w:rsidR="00344C35" w:rsidRDefault="00FD32B3" w:rsidP="00963137">
      <w:pPr>
        <w:suppressAutoHyphens w:val="0"/>
        <w:autoSpaceDE w:val="0"/>
        <w:spacing w:after="0" w:line="276" w:lineRule="auto"/>
        <w:jc w:val="both"/>
        <w:textAlignment w:val="auto"/>
      </w:pPr>
      <w:r>
        <w:rPr>
          <w:rFonts w:ascii="Times New Roman" w:hAnsi="Times New Roman"/>
        </w:rPr>
        <w:t xml:space="preserve">1. </w:t>
      </w:r>
      <w:r>
        <w:rPr>
          <w:rFonts w:ascii="Times New Roman" w:hAnsi="Times New Roman"/>
          <w:sz w:val="24"/>
          <w:szCs w:val="24"/>
        </w:rPr>
        <w:t>pokrycia występującego w ciągu roku przejściowego deficytu budżetu,</w:t>
      </w:r>
    </w:p>
    <w:p w:rsidR="00344C35" w:rsidRDefault="00FD32B3" w:rsidP="00963137">
      <w:pPr>
        <w:suppressAutoHyphens w:val="0"/>
        <w:autoSpaceDE w:val="0"/>
        <w:spacing w:after="0" w:line="276" w:lineRule="auto"/>
        <w:jc w:val="both"/>
        <w:textAlignment w:val="auto"/>
      </w:pPr>
      <w:r>
        <w:rPr>
          <w:rFonts w:ascii="Times New Roman" w:hAnsi="Times New Roman"/>
        </w:rPr>
        <w:t xml:space="preserve">2. </w:t>
      </w:r>
      <w:r>
        <w:rPr>
          <w:rFonts w:ascii="Times New Roman" w:hAnsi="Times New Roman"/>
          <w:sz w:val="24"/>
          <w:szCs w:val="24"/>
        </w:rPr>
        <w:t>finansowania planowanego deficytu,</w:t>
      </w:r>
    </w:p>
    <w:p w:rsidR="00344C35" w:rsidRDefault="00FD32B3" w:rsidP="00963137">
      <w:pPr>
        <w:suppressAutoHyphens w:val="0"/>
        <w:autoSpaceDE w:val="0"/>
        <w:spacing w:after="0" w:line="276" w:lineRule="auto"/>
        <w:jc w:val="both"/>
        <w:textAlignment w:val="auto"/>
      </w:pPr>
      <w:r>
        <w:rPr>
          <w:rFonts w:ascii="Times New Roman" w:hAnsi="Times New Roman"/>
        </w:rPr>
        <w:t xml:space="preserve">3. </w:t>
      </w:r>
      <w:r>
        <w:rPr>
          <w:rFonts w:ascii="Times New Roman" w:hAnsi="Times New Roman"/>
          <w:sz w:val="24"/>
          <w:szCs w:val="24"/>
        </w:rPr>
        <w:t>spłatę wcześniej zaciągniętych zobowiązań z tytułu emisji papierów wartościowych oraz</w:t>
      </w:r>
    </w:p>
    <w:p w:rsidR="00344C35" w:rsidRDefault="00FD32B3" w:rsidP="00963137">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zaciągniętych pożyczek i kredytów,</w:t>
      </w:r>
    </w:p>
    <w:p w:rsidR="00344C35" w:rsidRDefault="00FD32B3" w:rsidP="00963137">
      <w:pPr>
        <w:suppressAutoHyphens w:val="0"/>
        <w:autoSpaceDE w:val="0"/>
        <w:spacing w:after="0" w:line="276" w:lineRule="auto"/>
        <w:jc w:val="both"/>
        <w:textAlignment w:val="auto"/>
      </w:pPr>
      <w:r>
        <w:rPr>
          <w:rFonts w:ascii="Times New Roman" w:hAnsi="Times New Roman"/>
        </w:rPr>
        <w:t xml:space="preserve">4. </w:t>
      </w:r>
      <w:r>
        <w:rPr>
          <w:rFonts w:ascii="Times New Roman" w:hAnsi="Times New Roman"/>
          <w:sz w:val="24"/>
          <w:szCs w:val="24"/>
        </w:rPr>
        <w:t>wyprzedzające finansowanie działań finansowanych ze środków pochodzących z budżetu</w:t>
      </w:r>
    </w:p>
    <w:p w:rsidR="00344C35" w:rsidRDefault="00FD32B3">
      <w:pPr>
        <w:suppressAutoHyphens w:val="0"/>
        <w:autoSpaceDE w:val="0"/>
        <w:spacing w:after="0" w:line="276" w:lineRule="auto"/>
        <w:textAlignment w:val="auto"/>
        <w:rPr>
          <w:rFonts w:ascii="Times New Roman" w:hAnsi="Times New Roman"/>
          <w:sz w:val="24"/>
          <w:szCs w:val="24"/>
        </w:rPr>
      </w:pPr>
      <w:r>
        <w:rPr>
          <w:rFonts w:ascii="Times New Roman" w:hAnsi="Times New Roman"/>
          <w:sz w:val="24"/>
          <w:szCs w:val="24"/>
        </w:rPr>
        <w:t>Unii Europejskiej.</w:t>
      </w:r>
    </w:p>
    <w:p w:rsidR="00344C35" w:rsidRDefault="00FD32B3" w:rsidP="00963137">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942187">
        <w:rPr>
          <w:rFonts w:ascii="Times New Roman" w:hAnsi="Times New Roman"/>
          <w:sz w:val="24"/>
          <w:szCs w:val="24"/>
        </w:rPr>
        <w:br/>
      </w:r>
      <w:r>
        <w:rPr>
          <w:rFonts w:ascii="Times New Roman" w:hAnsi="Times New Roman"/>
          <w:sz w:val="24"/>
          <w:szCs w:val="24"/>
        </w:rPr>
        <w:t>co ma na celu</w:t>
      </w:r>
      <w:r w:rsidR="00963137">
        <w:rPr>
          <w:rFonts w:ascii="Times New Roman" w:hAnsi="Times New Roman"/>
          <w:sz w:val="24"/>
          <w:szCs w:val="24"/>
        </w:rPr>
        <w:t xml:space="preserve"> </w:t>
      </w:r>
      <w:r>
        <w:rPr>
          <w:rFonts w:ascii="Times New Roman" w:hAnsi="Times New Roman"/>
          <w:sz w:val="24"/>
          <w:szCs w:val="24"/>
        </w:rPr>
        <w:t>promowanie aktywnych form zarządzania majątkiem samorządowym. Relacja ta dla każdej</w:t>
      </w:r>
      <w:r w:rsidR="00963137">
        <w:rPr>
          <w:rFonts w:ascii="Times New Roman" w:hAnsi="Times New Roman"/>
          <w:sz w:val="24"/>
          <w:szCs w:val="24"/>
        </w:rPr>
        <w:t xml:space="preserve"> </w:t>
      </w:r>
      <w:r>
        <w:rPr>
          <w:rFonts w:ascii="Times New Roman" w:hAnsi="Times New Roman"/>
          <w:sz w:val="24"/>
          <w:szCs w:val="24"/>
        </w:rPr>
        <w:t>jednostki samorządowej kształtować się będzie na innym poziomie, w zależności od</w:t>
      </w:r>
      <w:r w:rsidR="00963137">
        <w:rPr>
          <w:rFonts w:ascii="Times New Roman" w:hAnsi="Times New Roman"/>
          <w:sz w:val="24"/>
          <w:szCs w:val="24"/>
        </w:rPr>
        <w:t xml:space="preserve"> </w:t>
      </w:r>
      <w:r>
        <w:rPr>
          <w:rFonts w:ascii="Times New Roman" w:hAnsi="Times New Roman"/>
          <w:sz w:val="24"/>
          <w:szCs w:val="24"/>
        </w:rPr>
        <w:t>zdolności generowania nadwyżki na działalności bieżącej, a także możliwości pozyskania</w:t>
      </w:r>
      <w:r w:rsidR="00963137">
        <w:rPr>
          <w:rFonts w:ascii="Times New Roman" w:hAnsi="Times New Roman"/>
          <w:sz w:val="24"/>
          <w:szCs w:val="24"/>
        </w:rPr>
        <w:t xml:space="preserve"> </w:t>
      </w:r>
      <w:r>
        <w:rPr>
          <w:rFonts w:ascii="Times New Roman" w:hAnsi="Times New Roman"/>
          <w:sz w:val="24"/>
          <w:szCs w:val="24"/>
        </w:rPr>
        <w:t>dochodów ze sprzedaży majątku.</w:t>
      </w:r>
    </w:p>
    <w:p w:rsidR="00344C35" w:rsidRDefault="00FD32B3" w:rsidP="00963137">
      <w:pPr>
        <w:suppressAutoHyphens w:val="0"/>
        <w:autoSpaceDE w:val="0"/>
        <w:spacing w:after="0" w:line="276" w:lineRule="auto"/>
        <w:jc w:val="both"/>
        <w:textAlignment w:val="auto"/>
        <w:rPr>
          <w:rFonts w:ascii="Times New Roman" w:hAnsi="Times New Roman"/>
          <w:sz w:val="24"/>
          <w:szCs w:val="24"/>
        </w:rPr>
      </w:pPr>
      <w:r>
        <w:rPr>
          <w:rFonts w:ascii="Times New Roman" w:hAnsi="Times New Roman"/>
          <w:sz w:val="24"/>
          <w:szCs w:val="24"/>
        </w:rPr>
        <w:t>W latach 2015-2025 ustawowe wymogi, w zakresie wielkości wskaźników zostały spełnione.</w:t>
      </w:r>
    </w:p>
    <w:p w:rsidR="00344C35" w:rsidRDefault="00FD32B3" w:rsidP="00963137">
      <w:pPr>
        <w:autoSpaceDE w:val="0"/>
        <w:spacing w:line="276" w:lineRule="auto"/>
        <w:jc w:val="both"/>
        <w:rPr>
          <w:rFonts w:ascii="Times New Roman" w:hAnsi="Times New Roman"/>
          <w:sz w:val="24"/>
          <w:szCs w:val="24"/>
        </w:rPr>
      </w:pPr>
      <w:r>
        <w:rPr>
          <w:rFonts w:ascii="Times New Roman" w:hAnsi="Times New Roman"/>
          <w:sz w:val="24"/>
          <w:szCs w:val="24"/>
        </w:rPr>
        <w:t>Dla zobowiązań istniejących w momencie opracowywania prognozy podstawą określenia</w:t>
      </w:r>
      <w:r w:rsidR="00963137">
        <w:rPr>
          <w:rFonts w:ascii="Times New Roman" w:hAnsi="Times New Roman"/>
          <w:sz w:val="24"/>
          <w:szCs w:val="24"/>
        </w:rPr>
        <w:t xml:space="preserve"> </w:t>
      </w:r>
      <w:r>
        <w:rPr>
          <w:rFonts w:ascii="Times New Roman" w:hAnsi="Times New Roman"/>
          <w:sz w:val="24"/>
          <w:szCs w:val="24"/>
        </w:rPr>
        <w:t>harmonogramów ich spłaty były obowiązujące umowy kredytowe i umow</w:t>
      </w:r>
      <w:r w:rsidR="00942187">
        <w:rPr>
          <w:rFonts w:ascii="Times New Roman" w:hAnsi="Times New Roman"/>
          <w:sz w:val="24"/>
          <w:szCs w:val="24"/>
        </w:rPr>
        <w:t>a</w:t>
      </w:r>
      <w:r>
        <w:rPr>
          <w:rFonts w:ascii="Times New Roman" w:hAnsi="Times New Roman"/>
          <w:sz w:val="24"/>
          <w:szCs w:val="24"/>
        </w:rPr>
        <w:t xml:space="preserve"> pożyczk</w:t>
      </w:r>
      <w:r w:rsidR="00942187">
        <w:rPr>
          <w:rFonts w:ascii="Times New Roman" w:hAnsi="Times New Roman"/>
          <w:sz w:val="24"/>
          <w:szCs w:val="24"/>
        </w:rPr>
        <w:t>i</w:t>
      </w:r>
      <w:r>
        <w:rPr>
          <w:rFonts w:ascii="Times New Roman" w:hAnsi="Times New Roman"/>
          <w:sz w:val="24"/>
          <w:szCs w:val="24"/>
        </w:rPr>
        <w:t xml:space="preserve">. </w:t>
      </w:r>
      <w:r w:rsidR="00963137">
        <w:rPr>
          <w:rFonts w:ascii="Times New Roman" w:hAnsi="Times New Roman"/>
          <w:sz w:val="24"/>
          <w:szCs w:val="24"/>
        </w:rPr>
        <w:br/>
      </w:r>
      <w:r>
        <w:rPr>
          <w:rFonts w:ascii="Times New Roman" w:hAnsi="Times New Roman"/>
          <w:sz w:val="24"/>
          <w:szCs w:val="24"/>
        </w:rPr>
        <w:lastRenderedPageBreak/>
        <w:t>Dla wszystkich zobowiązań wynikających z podpisanych umów kredytowych określono różne stopy procentowe, różny okres spłaty oraz warunki płatności odsetek i spłaty kapitału.  Analogicznie postąpiono w przypadku zobowiązań wynikających z obowiązując</w:t>
      </w:r>
      <w:r w:rsidR="005023C7">
        <w:rPr>
          <w:rFonts w:ascii="Times New Roman" w:hAnsi="Times New Roman"/>
          <w:sz w:val="24"/>
          <w:szCs w:val="24"/>
        </w:rPr>
        <w:t>ej</w:t>
      </w:r>
      <w:r>
        <w:rPr>
          <w:rFonts w:ascii="Times New Roman" w:hAnsi="Times New Roman"/>
          <w:sz w:val="24"/>
          <w:szCs w:val="24"/>
        </w:rPr>
        <w:t xml:space="preserve"> um</w:t>
      </w:r>
      <w:r w:rsidR="005023C7">
        <w:rPr>
          <w:rFonts w:ascii="Times New Roman" w:hAnsi="Times New Roman"/>
          <w:sz w:val="24"/>
          <w:szCs w:val="24"/>
        </w:rPr>
        <w:t>o</w:t>
      </w:r>
      <w:r>
        <w:rPr>
          <w:rFonts w:ascii="Times New Roman" w:hAnsi="Times New Roman"/>
          <w:sz w:val="24"/>
          <w:szCs w:val="24"/>
        </w:rPr>
        <w:t>w</w:t>
      </w:r>
      <w:r w:rsidR="005023C7">
        <w:rPr>
          <w:rFonts w:ascii="Times New Roman" w:hAnsi="Times New Roman"/>
          <w:sz w:val="24"/>
          <w:szCs w:val="24"/>
        </w:rPr>
        <w:t>y pożyczki</w:t>
      </w:r>
      <w:r>
        <w:rPr>
          <w:rFonts w:ascii="Times New Roman" w:hAnsi="Times New Roman"/>
          <w:sz w:val="24"/>
          <w:szCs w:val="24"/>
        </w:rPr>
        <w:t xml:space="preserve">. </w:t>
      </w:r>
    </w:p>
    <w:p w:rsidR="00344C35" w:rsidRDefault="00FD32B3" w:rsidP="00963137">
      <w:pPr>
        <w:autoSpaceDE w:val="0"/>
        <w:spacing w:line="276" w:lineRule="auto"/>
        <w:jc w:val="both"/>
      </w:pPr>
      <w:r>
        <w:rPr>
          <w:rFonts w:ascii="Times New Roman" w:hAnsi="Times New Roman"/>
          <w:sz w:val="24"/>
          <w:szCs w:val="24"/>
        </w:rPr>
        <w:t>Poniżej przedstawiono kształtowanie się rozchodów związanych ze spłatą rat kapitałowych oraz odsetek wraz z łączną kwotą długu na koniec każdego roku.</w:t>
      </w:r>
    </w:p>
    <w:p w:rsidR="00344C35" w:rsidRDefault="00FD32B3" w:rsidP="00963137">
      <w:pPr>
        <w:pStyle w:val="Bezodstpw"/>
        <w:spacing w:line="276" w:lineRule="auto"/>
        <w:jc w:val="both"/>
        <w:rPr>
          <w:rFonts w:ascii="Times New Roman" w:hAnsi="Times New Roman"/>
          <w:sz w:val="24"/>
          <w:szCs w:val="24"/>
        </w:rPr>
      </w:pPr>
      <w:r>
        <w:rPr>
          <w:rFonts w:ascii="Times New Roman" w:hAnsi="Times New Roman"/>
          <w:sz w:val="24"/>
          <w:szCs w:val="24"/>
        </w:rPr>
        <w:t xml:space="preserve">Do obliczenia wysokości odsetek przyjęto WIBOR średnio roczny w wysokości 2,6% plus marżę wynikającą z zawartych umów. </w:t>
      </w:r>
    </w:p>
    <w:p w:rsidR="00344C35" w:rsidRDefault="00FD32B3" w:rsidP="00963137">
      <w:pPr>
        <w:pStyle w:val="Bezodstpw"/>
        <w:spacing w:line="276" w:lineRule="auto"/>
        <w:jc w:val="both"/>
      </w:pPr>
      <w:r>
        <w:rPr>
          <w:rFonts w:ascii="Times New Roman" w:hAnsi="Times New Roman"/>
          <w:sz w:val="24"/>
          <w:szCs w:val="24"/>
        </w:rPr>
        <w:t>Wysokość procentowania:</w:t>
      </w:r>
    </w:p>
    <w:p w:rsidR="00344C35" w:rsidRDefault="00FD32B3" w:rsidP="00963137">
      <w:pPr>
        <w:pStyle w:val="Bezodstpw"/>
        <w:spacing w:line="276" w:lineRule="auto"/>
        <w:jc w:val="both"/>
      </w:pPr>
      <w:r>
        <w:rPr>
          <w:rFonts w:ascii="Times New Roman" w:hAnsi="Times New Roman"/>
        </w:rPr>
        <w:t>dla kredytów -</w:t>
      </w:r>
      <w:r>
        <w:rPr>
          <w:rFonts w:ascii="Times New Roman" w:hAnsi="Times New Roman"/>
        </w:rPr>
        <w:tab/>
        <w:t>od 3,5 – 4,2 %,</w:t>
      </w:r>
      <w:r>
        <w:rPr>
          <w:rFonts w:ascii="Times New Roman" w:hAnsi="Times New Roman"/>
        </w:rPr>
        <w:tab/>
      </w:r>
      <w:r>
        <w:rPr>
          <w:rFonts w:ascii="Times New Roman" w:hAnsi="Times New Roman"/>
        </w:rPr>
        <w:tab/>
        <w:t>dla pożyczek -</w:t>
      </w:r>
      <w:r>
        <w:rPr>
          <w:rFonts w:ascii="Times New Roman" w:hAnsi="Times New Roman"/>
        </w:rPr>
        <w:tab/>
        <w:t xml:space="preserve">3,0% </w:t>
      </w:r>
    </w:p>
    <w:p w:rsidR="00344C35" w:rsidRDefault="00FD32B3" w:rsidP="00963137">
      <w:pPr>
        <w:spacing w:line="276" w:lineRule="auto"/>
        <w:jc w:val="both"/>
        <w:rPr>
          <w:rFonts w:ascii="Times New Roman" w:hAnsi="Times New Roman"/>
          <w:sz w:val="24"/>
          <w:szCs w:val="24"/>
        </w:rPr>
      </w:pPr>
      <w:r>
        <w:rPr>
          <w:rFonts w:ascii="Times New Roman" w:hAnsi="Times New Roman"/>
          <w:sz w:val="24"/>
          <w:szCs w:val="24"/>
        </w:rPr>
        <w:t>Od 2015 roku  nie założono przychodów z tytułu kredytów.</w:t>
      </w:r>
    </w:p>
    <w:p w:rsidR="00344C35" w:rsidRDefault="00FD32B3">
      <w:r>
        <w:rPr>
          <w:rFonts w:ascii="Times New Roman" w:hAnsi="Times New Roman"/>
          <w:b/>
          <w:sz w:val="24"/>
          <w:szCs w:val="24"/>
        </w:rPr>
        <w:t>Tabela 1</w:t>
      </w:r>
      <w:r>
        <w:rPr>
          <w:rFonts w:ascii="Times New Roman" w:hAnsi="Times New Roman"/>
          <w:sz w:val="24"/>
          <w:szCs w:val="24"/>
        </w:rPr>
        <w:t xml:space="preserve"> </w:t>
      </w:r>
      <w:r>
        <w:rPr>
          <w:rFonts w:ascii="Times New Roman" w:hAnsi="Times New Roman"/>
          <w:sz w:val="24"/>
          <w:szCs w:val="24"/>
        </w:rPr>
        <w:tab/>
      </w:r>
    </w:p>
    <w:p w:rsidR="00344C35" w:rsidRDefault="00FD32B3">
      <w:pPr>
        <w:rPr>
          <w:rFonts w:ascii="Times New Roman" w:hAnsi="Times New Roman"/>
          <w:b/>
          <w:i/>
          <w:sz w:val="24"/>
          <w:szCs w:val="24"/>
          <w:u w:val="single"/>
        </w:rPr>
      </w:pPr>
      <w:r>
        <w:rPr>
          <w:rFonts w:ascii="Times New Roman" w:hAnsi="Times New Roman"/>
          <w:b/>
          <w:i/>
          <w:sz w:val="24"/>
          <w:szCs w:val="24"/>
          <w:u w:val="single"/>
        </w:rPr>
        <w:t>Zestawienie wielkości zadłużenia w latach 2015-2025</w:t>
      </w:r>
    </w:p>
    <w:p w:rsidR="00344C35" w:rsidRDefault="00FD32B3">
      <w:r>
        <w:object w:dxaOrig="8835" w:dyaOrig="3765">
          <v:shape id="Object 2" o:spid="_x0000_i1026" type="#_x0000_t75" style="width:441.75pt;height:188.25pt;visibility:visible;mso-wrap-style:square" o:ole="">
            <v:imagedata r:id="rId21" o:title=""/>
          </v:shape>
          <o:OLEObject Type="Embed" ProgID="Excel.Sheet.12" ShapeID="Object 2" DrawAspect="Content" ObjectID="_1483441933" r:id="rId22"/>
        </w:object>
      </w:r>
    </w:p>
    <w:p w:rsidR="00344C35" w:rsidRDefault="00FD32B3">
      <w:pPr>
        <w:tabs>
          <w:tab w:val="right" w:pos="9072"/>
        </w:tabs>
        <w:rPr>
          <w:rFonts w:ascii="Times New Roman" w:hAnsi="Times New Roman"/>
        </w:rPr>
      </w:pPr>
      <w:r>
        <w:rPr>
          <w:rFonts w:ascii="Times New Roman" w:hAnsi="Times New Roman"/>
        </w:rPr>
        <w:t>Spłaty rat kredytów i pożyczek zostaną sfinansowane z powstałej nadwyżki w latach 2015-2025.</w:t>
      </w:r>
      <w:r>
        <w:rPr>
          <w:rFonts w:ascii="Times New Roman" w:hAnsi="Times New Roman"/>
        </w:rPr>
        <w:tab/>
      </w:r>
    </w:p>
    <w:p w:rsidR="00344C35" w:rsidRDefault="00FD32B3">
      <w:r>
        <w:rPr>
          <w:rFonts w:ascii="Times New Roman" w:hAnsi="Times New Roman"/>
          <w:b/>
        </w:rPr>
        <w:t>Wykres 3</w:t>
      </w:r>
      <w:r>
        <w:rPr>
          <w:rFonts w:ascii="Times New Roman" w:hAnsi="Times New Roman"/>
        </w:rPr>
        <w:t xml:space="preserve"> </w:t>
      </w:r>
    </w:p>
    <w:p w:rsidR="00344C35" w:rsidRDefault="00FD32B3">
      <w:pPr>
        <w:rPr>
          <w:rFonts w:ascii="Times New Roman" w:hAnsi="Times New Roman"/>
          <w:b/>
          <w:i/>
          <w:u w:val="single"/>
        </w:rPr>
      </w:pPr>
      <w:r>
        <w:rPr>
          <w:rFonts w:ascii="Times New Roman" w:hAnsi="Times New Roman"/>
          <w:b/>
          <w:i/>
          <w:u w:val="single"/>
        </w:rPr>
        <w:t>Kształtowanie się kwoty długu, spłaty rat kapitałowych, oraz odsetek w latach 2015-2025</w:t>
      </w:r>
    </w:p>
    <w:p w:rsidR="00344C35" w:rsidRDefault="004B5AE2">
      <w:r>
        <w:rPr>
          <w:noProof/>
          <w:lang w:eastAsia="pl-PL"/>
        </w:rPr>
        <w:drawing>
          <wp:inline distT="0" distB="0" distL="0" distR="0" wp14:anchorId="0B6E2A1E" wp14:editId="1C527A4C">
            <wp:extent cx="5648325" cy="2638425"/>
            <wp:effectExtent l="0" t="0" r="9525" b="9525"/>
            <wp:docPr id="5"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44C35" w:rsidRDefault="00344C35">
      <w:pPr>
        <w:rPr>
          <w:rFonts w:ascii="Times New Roman" w:eastAsia="Times New Roman" w:hAnsi="Times New Roman"/>
          <w:lang w:eastAsia="pl-PL"/>
        </w:rPr>
      </w:pPr>
    </w:p>
    <w:p w:rsidR="00344C35" w:rsidRDefault="00FD32B3">
      <w:pPr>
        <w:rPr>
          <w:rFonts w:ascii="Times New Roman" w:eastAsia="Times New Roman" w:hAnsi="Times New Roman"/>
          <w:lang w:eastAsia="pl-PL"/>
        </w:rPr>
      </w:pPr>
      <w:r>
        <w:rPr>
          <w:rFonts w:ascii="Times New Roman" w:eastAsia="Times New Roman" w:hAnsi="Times New Roman"/>
          <w:lang w:eastAsia="pl-PL"/>
        </w:rPr>
        <w:lastRenderedPageBreak/>
        <w:t>Relacje wynikające z art.243 ustawy z dnia  27 sierpnia 2009 roku o finansach publicznych zostają zachowane i dają możliwość uchwalenia budżetu w wyznaczonych ramach dochodów i wydatków.</w:t>
      </w:r>
    </w:p>
    <w:p w:rsidR="00344C35" w:rsidRDefault="00FD32B3">
      <w:pP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Tabela 2</w:t>
      </w:r>
    </w:p>
    <w:p w:rsidR="00135460" w:rsidRDefault="00135460">
      <w:pPr>
        <w:sectPr w:rsidR="00135460">
          <w:headerReference w:type="default" r:id="rId24"/>
          <w:footerReference w:type="default" r:id="rId25"/>
          <w:pgSz w:w="11906" w:h="16838"/>
          <w:pgMar w:top="1417" w:right="1417" w:bottom="1417" w:left="1417" w:header="708" w:footer="708" w:gutter="0"/>
          <w:pgNumType w:fmt="numberInDash" w:start="1"/>
          <w:cols w:space="708"/>
        </w:sectPr>
      </w:pPr>
    </w:p>
    <w:p w:rsidR="00344C35" w:rsidRDefault="00FD32B3">
      <w:pPr>
        <w:rPr>
          <w:rFonts w:ascii="Times New Roman" w:eastAsia="Times New Roman" w:hAnsi="Times New Roman"/>
          <w:b/>
          <w:i/>
          <w:sz w:val="24"/>
          <w:szCs w:val="24"/>
          <w:u w:val="single"/>
          <w:lang w:eastAsia="pl-PL"/>
        </w:rPr>
      </w:pPr>
      <w:r>
        <w:rPr>
          <w:rFonts w:ascii="Times New Roman" w:eastAsia="Times New Roman" w:hAnsi="Times New Roman"/>
          <w:b/>
          <w:i/>
          <w:sz w:val="24"/>
          <w:szCs w:val="24"/>
          <w:u w:val="single"/>
          <w:lang w:eastAsia="pl-PL"/>
        </w:rPr>
        <w:lastRenderedPageBreak/>
        <w:t>Zestawienie wskaźników dla Wieloletniej Prognozy Finansowej na lata 2015-2025</w:t>
      </w:r>
    </w:p>
    <w:p w:rsidR="00135460" w:rsidRDefault="00135460">
      <w:pPr>
        <w:sectPr w:rsidR="00135460">
          <w:type w:val="continuous"/>
          <w:pgSz w:w="11906" w:h="16838"/>
          <w:pgMar w:top="1417" w:right="1417" w:bottom="1417" w:left="1417" w:header="708" w:footer="708" w:gutter="0"/>
          <w:pgNumType w:fmt="numberInDash" w:start="1"/>
          <w:cols w:space="708"/>
        </w:sectPr>
      </w:pPr>
    </w:p>
    <w:bookmarkStart w:id="1" w:name="_MON_1483285972"/>
    <w:bookmarkEnd w:id="1"/>
    <w:p w:rsidR="00344C35" w:rsidRDefault="004F3DA3" w:rsidP="005A4076">
      <w:r>
        <w:rPr>
          <w:rFonts w:ascii="Times New Roman" w:hAnsi="Times New Roman"/>
          <w:sz w:val="24"/>
          <w:szCs w:val="24"/>
        </w:rPr>
        <w:object w:dxaOrig="9164" w:dyaOrig="4745">
          <v:shape id="_x0000_i1027" type="#_x0000_t75" style="width:458.25pt;height:237pt" o:ole="">
            <v:imagedata r:id="rId26" o:title=""/>
          </v:shape>
          <o:OLEObject Type="Embed" ProgID="Excel.Sheet.12" ShapeID="_x0000_i1027" DrawAspect="Content" ObjectID="_1483441934" r:id="rId27"/>
        </w:object>
      </w:r>
      <w:r w:rsidR="00FD32B3">
        <w:rPr>
          <w:rFonts w:ascii="Times New Roman" w:eastAsia="Times New Roman" w:hAnsi="Times New Roman"/>
          <w:sz w:val="24"/>
          <w:szCs w:val="24"/>
          <w:lang w:eastAsia="pl-PL"/>
        </w:rPr>
        <w:t xml:space="preserve">Dopuszczalny wskaźnik obsługi zadłużenia został obliczony zgodnie z wzorem określonym </w:t>
      </w:r>
      <w:r w:rsidR="00963137">
        <w:rPr>
          <w:rFonts w:ascii="Times New Roman" w:eastAsia="Times New Roman" w:hAnsi="Times New Roman"/>
          <w:sz w:val="24"/>
          <w:szCs w:val="24"/>
          <w:lang w:eastAsia="pl-PL"/>
        </w:rPr>
        <w:br/>
      </w:r>
      <w:r w:rsidR="00FD32B3">
        <w:rPr>
          <w:rFonts w:ascii="Times New Roman" w:eastAsia="Times New Roman" w:hAnsi="Times New Roman"/>
          <w:sz w:val="24"/>
          <w:szCs w:val="24"/>
          <w:lang w:eastAsia="pl-PL"/>
        </w:rPr>
        <w:t xml:space="preserve">w art. 243 Ustawy o finansach publicznych.  Wskaźnik uwzględnia spłaty </w:t>
      </w:r>
      <w:r w:rsidR="00963137">
        <w:rPr>
          <w:rFonts w:ascii="Times New Roman" w:eastAsia="Times New Roman" w:hAnsi="Times New Roman"/>
          <w:sz w:val="24"/>
          <w:szCs w:val="24"/>
          <w:lang w:eastAsia="pl-PL"/>
        </w:rPr>
        <w:t>k</w:t>
      </w:r>
      <w:r w:rsidR="00FD32B3">
        <w:rPr>
          <w:rFonts w:ascii="Times New Roman" w:eastAsia="Times New Roman" w:hAnsi="Times New Roman"/>
          <w:sz w:val="24"/>
          <w:szCs w:val="24"/>
          <w:lang w:eastAsia="pl-PL"/>
        </w:rPr>
        <w:t>redytów</w:t>
      </w:r>
      <w:r w:rsidR="005023C7">
        <w:rPr>
          <w:rFonts w:ascii="Times New Roman" w:eastAsia="Times New Roman" w:hAnsi="Times New Roman"/>
          <w:sz w:val="24"/>
          <w:szCs w:val="24"/>
          <w:lang w:eastAsia="pl-PL"/>
        </w:rPr>
        <w:br/>
      </w:r>
      <w:r w:rsidR="00FD32B3">
        <w:rPr>
          <w:rFonts w:ascii="Times New Roman" w:eastAsia="Times New Roman" w:hAnsi="Times New Roman"/>
          <w:sz w:val="24"/>
          <w:szCs w:val="24"/>
          <w:lang w:eastAsia="pl-PL"/>
        </w:rPr>
        <w:t xml:space="preserve"> i pożyczek. </w:t>
      </w:r>
    </w:p>
    <w:p w:rsidR="00344C35" w:rsidRDefault="00FD32B3" w:rsidP="00963137">
      <w:pPr>
        <w:suppressAutoHyphens w:val="0"/>
        <w:spacing w:after="0"/>
        <w:jc w:val="both"/>
        <w:textAlignment w:val="auto"/>
      </w:pPr>
      <w:r>
        <w:rPr>
          <w:rFonts w:ascii="Times New Roman" w:eastAsia="Times New Roman" w:hAnsi="Times New Roman"/>
          <w:sz w:val="24"/>
          <w:szCs w:val="24"/>
          <w:lang w:eastAsia="pl-PL"/>
        </w:rPr>
        <w:t>W całym okresie prognozy długu wskaźniki zadłużenia i jego obsługi nie zostały przekroczone.</w:t>
      </w:r>
    </w:p>
    <w:p w:rsidR="00344C35" w:rsidRDefault="00FD32B3" w:rsidP="00963137">
      <w:pPr>
        <w:suppressAutoHyphens w:val="0"/>
        <w:autoSpaceDE w:val="0"/>
        <w:spacing w:after="0" w:line="276" w:lineRule="auto"/>
        <w:ind w:firstLine="708"/>
        <w:jc w:val="both"/>
        <w:textAlignment w:val="auto"/>
      </w:pPr>
      <w:r>
        <w:rPr>
          <w:rFonts w:ascii="Times New Roman" w:hAnsi="Times New Roman"/>
          <w:sz w:val="24"/>
          <w:szCs w:val="24"/>
        </w:rPr>
        <w:t>Sytuacja finansowa gminy w latach objętych prognozą w znaczący sposób może ulec</w:t>
      </w:r>
      <w:r w:rsidR="00963137">
        <w:rPr>
          <w:rFonts w:ascii="Times New Roman" w:hAnsi="Times New Roman"/>
          <w:sz w:val="24"/>
          <w:szCs w:val="24"/>
        </w:rPr>
        <w:t xml:space="preserve"> </w:t>
      </w:r>
      <w:r>
        <w:rPr>
          <w:rFonts w:ascii="Times New Roman" w:hAnsi="Times New Roman"/>
          <w:sz w:val="24"/>
          <w:szCs w:val="24"/>
        </w:rPr>
        <w:t>zmianie w wyniku m.in. zmian koniunktury gospodarczej kraju, zmian w przepisach</w:t>
      </w:r>
      <w:r w:rsidR="00963137">
        <w:rPr>
          <w:rFonts w:ascii="Times New Roman" w:hAnsi="Times New Roman"/>
          <w:sz w:val="24"/>
          <w:szCs w:val="24"/>
        </w:rPr>
        <w:t xml:space="preserve"> </w:t>
      </w:r>
      <w:r>
        <w:rPr>
          <w:rFonts w:ascii="Times New Roman" w:hAnsi="Times New Roman"/>
          <w:sz w:val="24"/>
          <w:szCs w:val="24"/>
        </w:rPr>
        <w:t xml:space="preserve">prawnych warunkujących dochody budżetu gminy, jak również otwarcia możliwości aplikowania o środki Unii Europejskiej. </w:t>
      </w:r>
    </w:p>
    <w:p w:rsidR="00344C35" w:rsidRDefault="00FD32B3" w:rsidP="00963137">
      <w:pPr>
        <w:suppressAutoHyphens w:val="0"/>
        <w:autoSpaceDE w:val="0"/>
        <w:spacing w:after="0" w:line="276" w:lineRule="auto"/>
        <w:jc w:val="both"/>
        <w:textAlignment w:val="auto"/>
      </w:pPr>
      <w:r>
        <w:rPr>
          <w:rFonts w:ascii="Times New Roman" w:hAnsi="Times New Roman"/>
          <w:sz w:val="24"/>
          <w:szCs w:val="24"/>
        </w:rPr>
        <w:t xml:space="preserve">Wówczas zajdzie konieczność dostosowania wieloletniej prognozy finansowej do nowej </w:t>
      </w:r>
      <w:r>
        <w:rPr>
          <w:rFonts w:ascii="Times New Roman" w:hAnsi="Times New Roman"/>
          <w:sz w:val="24"/>
          <w:szCs w:val="24"/>
        </w:rPr>
        <w:br/>
        <w:t xml:space="preserve">sytuacji </w:t>
      </w:r>
      <w:proofErr w:type="spellStart"/>
      <w:r>
        <w:rPr>
          <w:rFonts w:ascii="Times New Roman" w:hAnsi="Times New Roman"/>
          <w:sz w:val="24"/>
          <w:szCs w:val="24"/>
        </w:rPr>
        <w:t>ekonomiczno</w:t>
      </w:r>
      <w:proofErr w:type="spellEnd"/>
      <w:r>
        <w:rPr>
          <w:rFonts w:ascii="Times New Roman" w:hAnsi="Times New Roman"/>
          <w:sz w:val="24"/>
          <w:szCs w:val="24"/>
        </w:rPr>
        <w:t xml:space="preserve"> - finansowej.</w:t>
      </w:r>
    </w:p>
    <w:sectPr w:rsidR="00344C35" w:rsidSect="00152B79">
      <w:type w:val="continuous"/>
      <w:pgSz w:w="11906" w:h="16838"/>
      <w:pgMar w:top="1417" w:right="1417" w:bottom="1417" w:left="1417" w:header="708" w:footer="708" w:gutter="0"/>
      <w:pgNumType w:fmt="numberInDash" w:start="1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1BD" w:rsidRDefault="00D761BD">
      <w:pPr>
        <w:spacing w:after="0"/>
      </w:pPr>
      <w:r>
        <w:separator/>
      </w:r>
    </w:p>
  </w:endnote>
  <w:endnote w:type="continuationSeparator" w:id="0">
    <w:p w:rsidR="00D761BD" w:rsidRDefault="00D761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Times New Roman,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E2" w:rsidRDefault="004B5AE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2E" w:rsidRDefault="00FD32B3">
    <w:pPr>
      <w:pStyle w:val="Stopka"/>
      <w:jc w:val="center"/>
    </w:pPr>
    <w:r>
      <w:fldChar w:fldCharType="begin"/>
    </w:r>
    <w:r>
      <w:instrText xml:space="preserve"> PAGE </w:instrText>
    </w:r>
    <w:r>
      <w:fldChar w:fldCharType="separate"/>
    </w:r>
    <w:r>
      <w:t>2</w:t>
    </w:r>
    <w:r>
      <w:fldChar w:fldCharType="end"/>
    </w:r>
  </w:p>
  <w:p w:rsidR="006E5B2E" w:rsidRDefault="00D761B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2E" w:rsidRDefault="00D761BD">
    <w:pPr>
      <w:pStyle w:val="Stopka"/>
    </w:pPr>
  </w:p>
  <w:p w:rsidR="006E5B2E" w:rsidRDefault="00D761BD">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2E" w:rsidRDefault="00FD32B3">
    <w:pPr>
      <w:pStyle w:val="Stopka"/>
      <w:jc w:val="center"/>
    </w:pPr>
    <w:r>
      <w:fldChar w:fldCharType="begin"/>
    </w:r>
    <w:r>
      <w:instrText xml:space="preserve"> PAGE </w:instrText>
    </w:r>
    <w:r>
      <w:fldChar w:fldCharType="separate"/>
    </w:r>
    <w:r w:rsidR="00F7214C">
      <w:rPr>
        <w:noProof/>
      </w:rPr>
      <w:t>- 13 -</w:t>
    </w:r>
    <w:r>
      <w:fldChar w:fldCharType="end"/>
    </w:r>
  </w:p>
  <w:p w:rsidR="006E5B2E" w:rsidRDefault="00D761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1BD" w:rsidRDefault="00D761BD">
      <w:pPr>
        <w:spacing w:after="0"/>
      </w:pPr>
      <w:r>
        <w:rPr>
          <w:color w:val="000000"/>
        </w:rPr>
        <w:separator/>
      </w:r>
    </w:p>
  </w:footnote>
  <w:footnote w:type="continuationSeparator" w:id="0">
    <w:p w:rsidR="00D761BD" w:rsidRDefault="00D761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E2" w:rsidRDefault="004B5AE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2E" w:rsidRDefault="00FD32B3">
    <w:pPr>
      <w:pStyle w:val="Nagwek"/>
      <w:pBdr>
        <w:bottom w:val="double" w:sz="12" w:space="1" w:color="622423"/>
      </w:pBdr>
      <w:jc w:val="center"/>
      <w:rPr>
        <w:rFonts w:ascii="Cambria" w:eastAsia="Times New Roman" w:hAnsi="Cambria"/>
        <w:i/>
        <w:sz w:val="32"/>
        <w:szCs w:val="32"/>
      </w:rPr>
    </w:pPr>
    <w:r>
      <w:rPr>
        <w:rFonts w:ascii="Cambria" w:eastAsia="Times New Roman" w:hAnsi="Cambria"/>
        <w:i/>
        <w:sz w:val="32"/>
        <w:szCs w:val="32"/>
      </w:rPr>
      <w:t>Wieloletnia Prognoza Finansowa 2013-2025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E2" w:rsidRDefault="004B5AE2">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B2E" w:rsidRDefault="00FD32B3">
    <w:pPr>
      <w:pStyle w:val="Nagwek"/>
      <w:pBdr>
        <w:bottom w:val="double" w:sz="12" w:space="1" w:color="622423"/>
      </w:pBdr>
      <w:jc w:val="center"/>
      <w:rPr>
        <w:rFonts w:ascii="Cambria" w:eastAsia="Times New Roman" w:hAnsi="Cambria"/>
        <w:i/>
        <w:sz w:val="32"/>
        <w:szCs w:val="32"/>
      </w:rPr>
    </w:pPr>
    <w:r>
      <w:rPr>
        <w:rFonts w:ascii="Cambria" w:eastAsia="Times New Roman" w:hAnsi="Cambria"/>
        <w:i/>
        <w:sz w:val="32"/>
        <w:szCs w:val="32"/>
      </w:rPr>
      <w:t>Wieloletnia Prognoza Finansowa 2015-2025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0F02"/>
    <w:multiLevelType w:val="multilevel"/>
    <w:tmpl w:val="E0D4AB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44955788"/>
    <w:multiLevelType w:val="multilevel"/>
    <w:tmpl w:val="828246DC"/>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58B5675F"/>
    <w:multiLevelType w:val="multilevel"/>
    <w:tmpl w:val="D952DB2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nsid w:val="6B852121"/>
    <w:multiLevelType w:val="multilevel"/>
    <w:tmpl w:val="6894674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nsid w:val="7811043D"/>
    <w:multiLevelType w:val="multilevel"/>
    <w:tmpl w:val="9D3CB74C"/>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44C35"/>
    <w:rsid w:val="00080CFE"/>
    <w:rsid w:val="00121C54"/>
    <w:rsid w:val="00135460"/>
    <w:rsid w:val="00152B79"/>
    <w:rsid w:val="00186BFF"/>
    <w:rsid w:val="001F425E"/>
    <w:rsid w:val="00344C35"/>
    <w:rsid w:val="004226AA"/>
    <w:rsid w:val="004B5AE2"/>
    <w:rsid w:val="004E4ECD"/>
    <w:rsid w:val="004F3DA3"/>
    <w:rsid w:val="005023C7"/>
    <w:rsid w:val="005A4076"/>
    <w:rsid w:val="007973A8"/>
    <w:rsid w:val="007A58C3"/>
    <w:rsid w:val="008355E8"/>
    <w:rsid w:val="00843DF3"/>
    <w:rsid w:val="009375AD"/>
    <w:rsid w:val="00942187"/>
    <w:rsid w:val="00963137"/>
    <w:rsid w:val="009910BB"/>
    <w:rsid w:val="00A84169"/>
    <w:rsid w:val="00AC4D2C"/>
    <w:rsid w:val="00D761BD"/>
    <w:rsid w:val="00E3051A"/>
    <w:rsid w:val="00E86274"/>
    <w:rsid w:val="00F7214C"/>
    <w:rsid w:val="00F906FF"/>
    <w:rsid w:val="00FD32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8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pPr>
      <w:suppressAutoHyphens/>
    </w:pPr>
  </w:style>
  <w:style w:type="paragraph" w:styleId="Akapitzlist">
    <w:name w:val="List Paragraph"/>
    <w:basedOn w:val="Normalny"/>
    <w:pPr>
      <w:ind w:left="720"/>
    </w:p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Calibri" w:eastAsia="Calibri" w:hAnsi="Calibri" w:cs="Times New Roman"/>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alibri" w:eastAsia="Calibri" w:hAnsi="Calibri" w:cs="Times New Roman"/>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alibri" w:hAnsi="Tahoma" w:cs="Tahoma"/>
      <w:sz w:val="16"/>
      <w:szCs w:val="16"/>
    </w:rPr>
  </w:style>
  <w:style w:type="paragraph" w:customStyle="1" w:styleId="DecimalAligned">
    <w:name w:val="Decimal Aligned"/>
    <w:basedOn w:val="Normalny"/>
    <w:pPr>
      <w:tabs>
        <w:tab w:val="decimal" w:pos="360"/>
      </w:tabs>
      <w:suppressAutoHyphens w:val="0"/>
      <w:spacing w:after="200" w:line="276" w:lineRule="auto"/>
      <w:textAlignment w:val="auto"/>
    </w:pPr>
    <w:rPr>
      <w:lang w:eastAsia="pl-PL"/>
    </w:rPr>
  </w:style>
  <w:style w:type="paragraph" w:styleId="Tekstprzypisudolnego">
    <w:name w:val="footnote text"/>
    <w:basedOn w:val="Normalny"/>
    <w:pPr>
      <w:suppressAutoHyphens w:val="0"/>
      <w:spacing w:after="0"/>
      <w:textAlignment w:val="auto"/>
    </w:pPr>
    <w:rPr>
      <w:rFonts w:eastAsia="Times New Roman"/>
      <w:sz w:val="20"/>
      <w:szCs w:val="20"/>
      <w:lang w:eastAsia="pl-PL"/>
    </w:rPr>
  </w:style>
  <w:style w:type="character" w:customStyle="1" w:styleId="TekstprzypisudolnegoZnak">
    <w:name w:val="Tekst przypisu dolnego Znak"/>
    <w:basedOn w:val="Domylnaczcionkaakapitu"/>
    <w:rPr>
      <w:rFonts w:ascii="Calibri" w:eastAsia="Times New Roman" w:hAnsi="Calibri" w:cs="Times New Roman"/>
      <w:sz w:val="20"/>
      <w:szCs w:val="20"/>
      <w:lang w:eastAsia="pl-PL"/>
    </w:rPr>
  </w:style>
  <w:style w:type="character" w:styleId="Wyrnieniedelikatne">
    <w:name w:val="Subtle Emphasis"/>
    <w:basedOn w:val="Domylnaczcionkaakapitu"/>
    <w:rPr>
      <w:i/>
      <w:iCs/>
      <w:color w:val="000000"/>
    </w:rPr>
  </w:style>
  <w:style w:type="character" w:customStyle="1" w:styleId="BezodstpwZnak">
    <w:name w:val="Bez odstępów Znak"/>
    <w:basedOn w:val="Domylnaczcionkaakapitu"/>
  </w:style>
  <w:style w:type="character" w:styleId="Numerwiersza">
    <w:name w:val="line number"/>
    <w:basedOn w:val="Domylnaczcionkaakapitu"/>
  </w:style>
  <w:style w:type="character" w:styleId="Odwoanieprzypisudolnego">
    <w:name w:val="footnote reference"/>
    <w:basedOn w:val="Domylnaczcionkaakapitu"/>
    <w:rPr>
      <w:position w:val="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8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pPr>
      <w:suppressAutoHyphens/>
    </w:pPr>
  </w:style>
  <w:style w:type="paragraph" w:styleId="Akapitzlist">
    <w:name w:val="List Paragraph"/>
    <w:basedOn w:val="Normalny"/>
    <w:pPr>
      <w:ind w:left="720"/>
    </w:p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Calibri" w:eastAsia="Calibri" w:hAnsi="Calibri" w:cs="Times New Roman"/>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alibri" w:eastAsia="Calibri" w:hAnsi="Calibri" w:cs="Times New Roman"/>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alibri" w:hAnsi="Tahoma" w:cs="Tahoma"/>
      <w:sz w:val="16"/>
      <w:szCs w:val="16"/>
    </w:rPr>
  </w:style>
  <w:style w:type="paragraph" w:customStyle="1" w:styleId="DecimalAligned">
    <w:name w:val="Decimal Aligned"/>
    <w:basedOn w:val="Normalny"/>
    <w:pPr>
      <w:tabs>
        <w:tab w:val="decimal" w:pos="360"/>
      </w:tabs>
      <w:suppressAutoHyphens w:val="0"/>
      <w:spacing w:after="200" w:line="276" w:lineRule="auto"/>
      <w:textAlignment w:val="auto"/>
    </w:pPr>
    <w:rPr>
      <w:lang w:eastAsia="pl-PL"/>
    </w:rPr>
  </w:style>
  <w:style w:type="paragraph" w:styleId="Tekstprzypisudolnego">
    <w:name w:val="footnote text"/>
    <w:basedOn w:val="Normalny"/>
    <w:pPr>
      <w:suppressAutoHyphens w:val="0"/>
      <w:spacing w:after="0"/>
      <w:textAlignment w:val="auto"/>
    </w:pPr>
    <w:rPr>
      <w:rFonts w:eastAsia="Times New Roman"/>
      <w:sz w:val="20"/>
      <w:szCs w:val="20"/>
      <w:lang w:eastAsia="pl-PL"/>
    </w:rPr>
  </w:style>
  <w:style w:type="character" w:customStyle="1" w:styleId="TekstprzypisudolnegoZnak">
    <w:name w:val="Tekst przypisu dolnego Znak"/>
    <w:basedOn w:val="Domylnaczcionkaakapitu"/>
    <w:rPr>
      <w:rFonts w:ascii="Calibri" w:eastAsia="Times New Roman" w:hAnsi="Calibri" w:cs="Times New Roman"/>
      <w:sz w:val="20"/>
      <w:szCs w:val="20"/>
      <w:lang w:eastAsia="pl-PL"/>
    </w:rPr>
  </w:style>
  <w:style w:type="character" w:styleId="Wyrnieniedelikatne">
    <w:name w:val="Subtle Emphasis"/>
    <w:basedOn w:val="Domylnaczcionkaakapitu"/>
    <w:rPr>
      <w:i/>
      <w:iCs/>
      <w:color w:val="000000"/>
    </w:rPr>
  </w:style>
  <w:style w:type="character" w:customStyle="1" w:styleId="BezodstpwZnak">
    <w:name w:val="Bez odstępów Znak"/>
    <w:basedOn w:val="Domylnaczcionkaakapitu"/>
  </w:style>
  <w:style w:type="character" w:styleId="Numerwiersza">
    <w:name w:val="line number"/>
    <w:basedOn w:val="Domylnaczcionkaakapitu"/>
  </w:style>
  <w:style w:type="character" w:styleId="Odwoanieprzypisudolnego">
    <w:name w:val="footnote reference"/>
    <w:basedOn w:val="Domylnaczcionkaakapitu"/>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26" Type="http://schemas.openxmlformats.org/officeDocument/2006/relationships/image" Target="media/image5.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package" Target="embeddings/Microsoft_Excel_Worksheet1.xlsx"/><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chart" Target="charts/chart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package" Target="embeddings/Microsoft_Excel_Worksheet2.xlsx"/><Relationship Id="rId27" Type="http://schemas.openxmlformats.org/officeDocument/2006/relationships/package" Target="embeddings/Microsoft_Excel_Worksheet3.xlsx"/></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c:style val="2"/>
  <c:chart>
    <c:autoTitleDeleted val="1"/>
    <c:view3D>
      <c:rotX val="13"/>
      <c:rotY val="0"/>
      <c:rAngAx val="0"/>
      <c:perspective val="46"/>
    </c:view3D>
    <c:floor>
      <c:thickness val="0"/>
      <c:spPr>
        <a:noFill/>
        <a:ln w="9528">
          <a:solidFill>
            <a:srgbClr val="868686"/>
          </a:solidFill>
          <a:prstDash val="solid"/>
          <a:round/>
        </a:ln>
      </c:spPr>
    </c:floor>
    <c:sideWall>
      <c:thickness val="0"/>
      <c:spPr>
        <a:noFill/>
        <a:ln>
          <a:noFill/>
        </a:ln>
      </c:spPr>
    </c:sideWall>
    <c:backWall>
      <c:thickness val="0"/>
      <c:spPr>
        <a:noFill/>
        <a:ln>
          <a:noFill/>
        </a:ln>
      </c:spPr>
    </c:backWall>
    <c:plotArea>
      <c:layout/>
      <c:pie3DChart>
        <c:varyColors val="1"/>
        <c:ser>
          <c:idx val="0"/>
          <c:order val="0"/>
          <c:tx>
            <c:v>Serie1</c:v>
          </c:tx>
          <c:explosion val="25"/>
          <c:dPt>
            <c:idx val="0"/>
            <c:bubble3D val="0"/>
            <c:spPr>
              <a:solidFill>
                <a:srgbClr val="4F81BD"/>
              </a:solidFill>
              <a:ln>
                <a:noFill/>
              </a:ln>
            </c:spPr>
          </c:dPt>
          <c:dPt>
            <c:idx val="1"/>
            <c:bubble3D val="0"/>
            <c:spPr>
              <a:solidFill>
                <a:srgbClr val="C0504D"/>
              </a:solidFill>
              <a:ln>
                <a:noFill/>
              </a:ln>
            </c:spPr>
          </c:dPt>
          <c:dPt>
            <c:idx val="2"/>
            <c:bubble3D val="0"/>
            <c:spPr>
              <a:solidFill>
                <a:srgbClr val="9BBB59"/>
              </a:solidFill>
              <a:ln>
                <a:noFill/>
              </a:ln>
            </c:spPr>
          </c:dPt>
          <c:dPt>
            <c:idx val="3"/>
            <c:bubble3D val="0"/>
            <c:spPr>
              <a:solidFill>
                <a:srgbClr val="8064A2"/>
              </a:solidFill>
              <a:ln>
                <a:noFill/>
              </a:ln>
            </c:spPr>
          </c:dPt>
          <c:cat>
            <c:strLit>
              <c:ptCount val="4"/>
              <c:pt idx="0">
                <c:v>Oświata</c:v>
              </c:pt>
              <c:pt idx="1">
                <c:v>GOPS</c:v>
              </c:pt>
              <c:pt idx="2">
                <c:v>Administracja</c:v>
              </c:pt>
              <c:pt idx="3">
                <c:v>Pozostałe</c:v>
              </c:pt>
            </c:strLit>
          </c:cat>
          <c:val>
            <c:numLit>
              <c:formatCode>General</c:formatCode>
              <c:ptCount val="4"/>
              <c:pt idx="0">
                <c:v>15247951</c:v>
              </c:pt>
              <c:pt idx="1">
                <c:v>1472603</c:v>
              </c:pt>
              <c:pt idx="2">
                <c:v>3038640.43</c:v>
              </c:pt>
              <c:pt idx="3">
                <c:v>359021.9</c:v>
              </c:pt>
            </c:numLit>
          </c:val>
        </c:ser>
        <c:dLbls>
          <c:showLegendKey val="0"/>
          <c:showVal val="0"/>
          <c:showCatName val="0"/>
          <c:showSerName val="0"/>
          <c:showPercent val="0"/>
          <c:showBubbleSize val="0"/>
          <c:showLeaderLines val="1"/>
        </c:dLbls>
      </c:pie3DChart>
      <c:spPr>
        <a:noFill/>
        <a:ln>
          <a:noFill/>
        </a:ln>
      </c:spPr>
    </c:plotArea>
    <c:legend>
      <c:legendPos val="r"/>
      <c:layout>
        <c:manualLayout>
          <c:xMode val="edge"/>
          <c:yMode val="edge"/>
          <c:x val="0.81184454139178552"/>
          <c:y val="0.17938769640096358"/>
        </c:manualLayout>
      </c:layout>
      <c:overlay val="0"/>
      <c:spPr>
        <a:noFill/>
        <a:ln>
          <a:noFill/>
        </a:ln>
      </c:spPr>
      <c:txPr>
        <a:bodyPr vert="horz" lIns="0" tIns="0" rIns="0" bIns="0"/>
        <a:lstStyle/>
        <a:p>
          <a:pPr marL="0" marR="0" indent="0" algn="l" defTabSz="914400" rtl="0" fontAlgn="auto" hangingPunct="1">
            <a:lnSpc>
              <a:spcPct val="100000"/>
            </a:lnSpc>
            <a:spcBef>
              <a:spcPts val="0"/>
            </a:spcBef>
            <a:spcAft>
              <a:spcPts val="0"/>
            </a:spcAft>
            <a:tabLst/>
            <a:defRPr lang="pl-PL" sz="1040" b="1" i="0" u="none" strike="noStrike" kern="1200" baseline="0">
              <a:solidFill>
                <a:srgbClr val="000000"/>
              </a:solidFill>
              <a:latin typeface="Times New Roman" pitchFamily="18"/>
            </a:defRPr>
          </a:pPr>
          <a:endParaRPr lang="pl-PL"/>
        </a:p>
      </c:txPr>
    </c:legend>
    <c:plotVisOnly val="1"/>
    <c:dispBlanksAs val="gap"/>
    <c:showDLblsOverMax val="0"/>
  </c:chart>
  <c:spPr>
    <a:solidFill>
      <a:srgbClr val="FFFFFF"/>
    </a:solid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0" i="0" u="none" strike="noStrike" kern="1200" baseline="0">
          <a:solidFill>
            <a:srgbClr val="000000"/>
          </a:solidFill>
          <a:latin typeface="Calibri"/>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3"/>
      <c:rotY val="18"/>
      <c:rAngAx val="0"/>
      <c:perspective val="30"/>
    </c:view3D>
    <c:floor>
      <c:thickness val="0"/>
      <c:spPr>
        <a:noFill/>
        <a:ln w="9528">
          <a:solidFill>
            <a:srgbClr val="868686"/>
          </a:solidFill>
          <a:prstDash val="solid"/>
          <a:round/>
        </a:ln>
      </c:spPr>
    </c:floor>
    <c:sideWall>
      <c:thickness val="0"/>
      <c:spPr>
        <a:noFill/>
        <a:ln>
          <a:noFill/>
        </a:ln>
      </c:spPr>
    </c:sideWall>
    <c:backWall>
      <c:thickness val="0"/>
      <c:spPr>
        <a:noFill/>
        <a:ln>
          <a:noFill/>
        </a:ln>
      </c:spPr>
    </c:backWall>
    <c:plotArea>
      <c:layout/>
      <c:bar3DChart>
        <c:barDir val="col"/>
        <c:grouping val="stacked"/>
        <c:varyColors val="0"/>
        <c:ser>
          <c:idx val="0"/>
          <c:order val="0"/>
          <c:tx>
            <c:v>wydatki bieżące</c:v>
          </c:tx>
          <c:spPr>
            <a:gradFill>
              <a:gsLst>
                <a:gs pos="0">
                  <a:srgbClr val="2C5D98"/>
                </a:gs>
                <a:gs pos="100000">
                  <a:srgbClr val="3C7BC7"/>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45739773.729999997</c:v>
              </c:pt>
              <c:pt idx="1">
                <c:v>47352103.5</c:v>
              </c:pt>
              <c:pt idx="2">
                <c:v>48839670.659999996</c:v>
              </c:pt>
              <c:pt idx="3">
                <c:v>50305725.979999997</c:v>
              </c:pt>
              <c:pt idx="4">
                <c:v>51805654.43</c:v>
              </c:pt>
              <c:pt idx="5">
                <c:v>54157750</c:v>
              </c:pt>
              <c:pt idx="6">
                <c:v>55807847</c:v>
              </c:pt>
              <c:pt idx="7">
                <c:v>57490380</c:v>
              </c:pt>
              <c:pt idx="8">
                <c:v>59283727</c:v>
              </c:pt>
              <c:pt idx="9">
                <c:v>61026372</c:v>
              </c:pt>
              <c:pt idx="10">
                <c:v>62393418.759999998</c:v>
              </c:pt>
            </c:numLit>
          </c:val>
        </c:ser>
        <c:ser>
          <c:idx val="1"/>
          <c:order val="1"/>
          <c:tx>
            <c:v>wynagrodzenia</c:v>
          </c:tx>
          <c:spPr>
            <a:gradFill>
              <a:gsLst>
                <a:gs pos="0">
                  <a:srgbClr val="9B2D2A"/>
                </a:gs>
                <a:gs pos="100000">
                  <a:srgbClr val="CB3D3A"/>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20118216.329999998</c:v>
              </c:pt>
              <c:pt idx="1">
                <c:v>20580002</c:v>
              </c:pt>
              <c:pt idx="2">
                <c:v>21094502</c:v>
              </c:pt>
              <c:pt idx="3">
                <c:v>21621865</c:v>
              </c:pt>
              <c:pt idx="4">
                <c:v>22162412</c:v>
              </c:pt>
              <c:pt idx="5">
                <c:v>22716472</c:v>
              </c:pt>
              <c:pt idx="6">
                <c:v>23284384</c:v>
              </c:pt>
              <c:pt idx="7">
                <c:v>23866494</c:v>
              </c:pt>
              <c:pt idx="8">
                <c:v>24463156</c:v>
              </c:pt>
              <c:pt idx="9">
                <c:v>25074735</c:v>
              </c:pt>
              <c:pt idx="10">
                <c:v>25701603</c:v>
              </c:pt>
            </c:numLit>
          </c:val>
        </c:ser>
        <c:ser>
          <c:idx val="2"/>
          <c:order val="2"/>
          <c:tx>
            <c:v>wydatki związane z funk.jst</c:v>
          </c:tx>
          <c:spPr>
            <a:gradFill>
              <a:gsLst>
                <a:gs pos="0">
                  <a:srgbClr val="769535"/>
                </a:gs>
                <a:gs pos="100000">
                  <a:srgbClr val="9BC348"/>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3934936.56</c:v>
              </c:pt>
              <c:pt idx="1">
                <c:v>3996000</c:v>
              </c:pt>
              <c:pt idx="2">
                <c:v>4036000</c:v>
              </c:pt>
              <c:pt idx="3">
                <c:v>4076000</c:v>
              </c:pt>
              <c:pt idx="4">
                <c:v>4136853</c:v>
              </c:pt>
              <c:pt idx="5">
                <c:v>4240274</c:v>
              </c:pt>
              <c:pt idx="6">
                <c:v>4346281</c:v>
              </c:pt>
              <c:pt idx="7">
                <c:v>4454938</c:v>
              </c:pt>
              <c:pt idx="8">
                <c:v>4566311</c:v>
              </c:pt>
              <c:pt idx="9">
                <c:v>4680469</c:v>
              </c:pt>
              <c:pt idx="10">
                <c:v>4797481</c:v>
              </c:pt>
            </c:numLit>
          </c:val>
        </c:ser>
        <c:dLbls>
          <c:showLegendKey val="0"/>
          <c:showVal val="0"/>
          <c:showCatName val="0"/>
          <c:showSerName val="0"/>
          <c:showPercent val="0"/>
          <c:showBubbleSize val="0"/>
        </c:dLbls>
        <c:gapWidth val="75"/>
        <c:shape val="box"/>
        <c:axId val="166342656"/>
        <c:axId val="166197504"/>
        <c:axId val="0"/>
      </c:bar3DChart>
      <c:valAx>
        <c:axId val="166197504"/>
        <c:scaling>
          <c:orientation val="minMax"/>
        </c:scaling>
        <c:delete val="0"/>
        <c:axPos val="l"/>
        <c:majorGridlines>
          <c:spPr>
            <a:ln w="9528">
              <a:solidFill>
                <a:srgbClr val="868686"/>
              </a:solidFill>
              <a:prstDash val="solid"/>
              <a:round/>
            </a:ln>
          </c:spPr>
        </c:majorGridlines>
        <c:numFmt formatCode="#,##0.00" sourceLinked="0"/>
        <c:majorTickMark val="none"/>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1" i="0" u="none" strike="noStrike" kern="1200" baseline="0">
                <a:solidFill>
                  <a:srgbClr val="000000"/>
                </a:solidFill>
                <a:latin typeface="Calibri"/>
              </a:defRPr>
            </a:pPr>
            <a:endParaRPr lang="pl-PL"/>
          </a:p>
        </c:txPr>
        <c:crossAx val="166342656"/>
        <c:crosses val="autoZero"/>
        <c:crossBetween val="between"/>
      </c:valAx>
      <c:catAx>
        <c:axId val="166342656"/>
        <c:scaling>
          <c:orientation val="minMax"/>
        </c:scaling>
        <c:delete val="0"/>
        <c:axPos val="b"/>
        <c:numFmt formatCode="General" sourceLinked="0"/>
        <c:majorTickMark val="none"/>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1" i="0" u="none" strike="noStrike" kern="1200" baseline="0">
                <a:solidFill>
                  <a:srgbClr val="000000"/>
                </a:solidFill>
                <a:latin typeface="Calibri"/>
              </a:defRPr>
            </a:pPr>
            <a:endParaRPr lang="pl-PL"/>
          </a:p>
        </c:txPr>
        <c:crossAx val="166197504"/>
        <c:crosses val="autoZero"/>
        <c:auto val="1"/>
        <c:lblAlgn val="ctr"/>
        <c:lblOffset val="100"/>
        <c:noMultiLvlLbl val="0"/>
      </c:cat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lang="pl-PL" sz="1000" b="1" i="0" u="none" strike="noStrike" kern="1200" baseline="0">
              <a:solidFill>
                <a:srgbClr val="000000"/>
              </a:solidFill>
              <a:latin typeface="Calibri"/>
            </a:defRPr>
          </a:pPr>
          <a:endParaRPr lang="pl-PL"/>
        </a:p>
      </c:txPr>
    </c:legend>
    <c:plotVisOnly val="1"/>
    <c:dispBlanksAs val="gap"/>
    <c:showDLblsOverMax val="0"/>
  </c:chart>
  <c:spPr>
    <a:solidFill>
      <a:srgbClr val="FFFFFF"/>
    </a:solid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0" i="0" u="none" strike="noStrike" kern="1200" baseline="0">
          <a:solidFill>
            <a:srgbClr val="000000"/>
          </a:solidFill>
          <a:latin typeface="Calibri"/>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3"/>
      <c:rotY val="18"/>
      <c:rAngAx val="0"/>
      <c:perspective val="30"/>
    </c:view3D>
    <c:floor>
      <c:thickness val="0"/>
      <c:spPr>
        <a:noFill/>
        <a:ln w="9528">
          <a:solidFill>
            <a:srgbClr val="868686"/>
          </a:solidFill>
          <a:prstDash val="solid"/>
          <a:round/>
        </a:ln>
      </c:spPr>
    </c:floor>
    <c:sideWall>
      <c:thickness val="0"/>
      <c:spPr>
        <a:noFill/>
        <a:ln>
          <a:noFill/>
        </a:ln>
      </c:spPr>
    </c:sideWall>
    <c:backWall>
      <c:thickness val="0"/>
      <c:spPr>
        <a:noFill/>
        <a:ln>
          <a:noFill/>
        </a:ln>
      </c:spPr>
    </c:backWall>
    <c:plotArea>
      <c:layout/>
      <c:bar3DChart>
        <c:barDir val="col"/>
        <c:grouping val="stacked"/>
        <c:varyColors val="0"/>
        <c:ser>
          <c:idx val="0"/>
          <c:order val="0"/>
          <c:tx>
            <c:v>spłata kapitału</c:v>
          </c:tx>
          <c:spPr>
            <a:gradFill>
              <a:gsLst>
                <a:gs pos="0">
                  <a:srgbClr val="2C5D98"/>
                </a:gs>
                <a:gs pos="100000">
                  <a:srgbClr val="3C7BC7"/>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1676800</c:v>
              </c:pt>
              <c:pt idx="1">
                <c:v>1676800</c:v>
              </c:pt>
              <c:pt idx="2">
                <c:v>1676800</c:v>
              </c:pt>
              <c:pt idx="3">
                <c:v>1676800</c:v>
              </c:pt>
              <c:pt idx="4">
                <c:v>1676800</c:v>
              </c:pt>
              <c:pt idx="5">
                <c:v>944800</c:v>
              </c:pt>
              <c:pt idx="6">
                <c:v>944800</c:v>
              </c:pt>
              <c:pt idx="7">
                <c:v>944800</c:v>
              </c:pt>
              <c:pt idx="8">
                <c:v>945000</c:v>
              </c:pt>
              <c:pt idx="9">
                <c:v>525000</c:v>
              </c:pt>
              <c:pt idx="10">
                <c:v>411601.24</c:v>
              </c:pt>
            </c:numLit>
          </c:val>
        </c:ser>
        <c:ser>
          <c:idx val="1"/>
          <c:order val="1"/>
          <c:tx>
            <c:v>spłata odsetek</c:v>
          </c:tx>
          <c:spPr>
            <a:gradFill>
              <a:gsLst>
                <a:gs pos="0">
                  <a:srgbClr val="9B2D2A"/>
                </a:gs>
                <a:gs pos="100000">
                  <a:srgbClr val="CB3D3A"/>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467200</c:v>
              </c:pt>
              <c:pt idx="1">
                <c:v>400275</c:v>
              </c:pt>
              <c:pt idx="2">
                <c:v>338200</c:v>
              </c:pt>
              <c:pt idx="3">
                <c:v>276625</c:v>
              </c:pt>
              <c:pt idx="4">
                <c:v>214450</c:v>
              </c:pt>
              <c:pt idx="5">
                <c:v>152975</c:v>
              </c:pt>
              <c:pt idx="6">
                <c:v>121900</c:v>
              </c:pt>
              <c:pt idx="7">
                <c:v>90825</c:v>
              </c:pt>
              <c:pt idx="8">
                <c:v>46550</c:v>
              </c:pt>
              <c:pt idx="9">
                <c:v>25175</c:v>
              </c:pt>
              <c:pt idx="10">
                <c:v>12300</c:v>
              </c:pt>
            </c:numLit>
          </c:val>
        </c:ser>
        <c:ser>
          <c:idx val="2"/>
          <c:order val="2"/>
          <c:tx>
            <c:v>kwota długu</c:v>
          </c:tx>
          <c:spPr>
            <a:gradFill>
              <a:gsLst>
                <a:gs pos="0">
                  <a:srgbClr val="769535"/>
                </a:gs>
                <a:gs pos="100000">
                  <a:srgbClr val="9BC348"/>
                </a:gs>
              </a:gsLst>
              <a:lin ang="16200000"/>
            </a:gradFill>
            <a:ln>
              <a:noFill/>
            </a:ln>
            <a:effectLst>
              <a:outerShdw dist="22997" dir="5400000" algn="tl">
                <a:srgbClr val="000000">
                  <a:alpha val="35000"/>
                </a:srgbClr>
              </a:outerShdw>
            </a:effectLst>
          </c:spPr>
          <c:invertIfNegative val="0"/>
          <c:cat>
            <c:numLit>
              <c:formatCode>General</c:formatCode>
              <c:ptCount val="11"/>
              <c:pt idx="0">
                <c:v>2015</c:v>
              </c:pt>
              <c:pt idx="1">
                <c:v>2016</c:v>
              </c:pt>
              <c:pt idx="2">
                <c:v>2017</c:v>
              </c:pt>
              <c:pt idx="3">
                <c:v>2018</c:v>
              </c:pt>
              <c:pt idx="4">
                <c:v>2019</c:v>
              </c:pt>
              <c:pt idx="5">
                <c:v>2020</c:v>
              </c:pt>
              <c:pt idx="6">
                <c:v>2021</c:v>
              </c:pt>
              <c:pt idx="7">
                <c:v>2022</c:v>
              </c:pt>
              <c:pt idx="8">
                <c:v>2023</c:v>
              </c:pt>
              <c:pt idx="9">
                <c:v>2024</c:v>
              </c:pt>
              <c:pt idx="10">
                <c:v>2025</c:v>
              </c:pt>
            </c:numLit>
          </c:cat>
          <c:val>
            <c:numLit>
              <c:formatCode>General</c:formatCode>
              <c:ptCount val="11"/>
              <c:pt idx="0">
                <c:v>11423201.24</c:v>
              </c:pt>
              <c:pt idx="1">
                <c:v>9746401.2400000002</c:v>
              </c:pt>
              <c:pt idx="2">
                <c:v>8069601.2400000002</c:v>
              </c:pt>
              <c:pt idx="3">
                <c:v>6392801.2400000002</c:v>
              </c:pt>
              <c:pt idx="4">
                <c:v>4716001.24</c:v>
              </c:pt>
              <c:pt idx="5">
                <c:v>3771201.24</c:v>
              </c:pt>
              <c:pt idx="6">
                <c:v>2826401.24</c:v>
              </c:pt>
              <c:pt idx="7">
                <c:v>1881601.24</c:v>
              </c:pt>
              <c:pt idx="8">
                <c:v>936601.24</c:v>
              </c:pt>
              <c:pt idx="9">
                <c:v>411601.24</c:v>
              </c:pt>
              <c:pt idx="10">
                <c:v>0</c:v>
              </c:pt>
            </c:numLit>
          </c:val>
        </c:ser>
        <c:dLbls>
          <c:showLegendKey val="0"/>
          <c:showVal val="0"/>
          <c:showCatName val="0"/>
          <c:showSerName val="0"/>
          <c:showPercent val="0"/>
          <c:showBubbleSize val="0"/>
        </c:dLbls>
        <c:gapWidth val="75"/>
        <c:shape val="box"/>
        <c:axId val="169430016"/>
        <c:axId val="169428480"/>
        <c:axId val="0"/>
      </c:bar3DChart>
      <c:valAx>
        <c:axId val="169428480"/>
        <c:scaling>
          <c:orientation val="minMax"/>
        </c:scaling>
        <c:delete val="0"/>
        <c:axPos val="l"/>
        <c:majorGridlines>
          <c:spPr>
            <a:ln w="9528">
              <a:solidFill>
                <a:srgbClr val="868686"/>
              </a:solidFill>
              <a:prstDash val="solid"/>
              <a:round/>
            </a:ln>
          </c:spPr>
        </c:majorGridlines>
        <c:numFmt formatCode="#,##0.00"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lang="pl-PL" sz="1000" b="1" i="0" u="none" strike="noStrike" kern="1200" baseline="0">
                <a:solidFill>
                  <a:srgbClr val="000000"/>
                </a:solidFill>
                <a:latin typeface="Calibri"/>
              </a:defRPr>
            </a:pPr>
            <a:endParaRPr lang="pl-PL"/>
          </a:p>
        </c:txPr>
        <c:crossAx val="169430016"/>
        <c:crossesAt val="1"/>
        <c:crossBetween val="between"/>
      </c:valAx>
      <c:catAx>
        <c:axId val="169430016"/>
        <c:scaling>
          <c:orientation val="minMax"/>
        </c:scaling>
        <c:delete val="0"/>
        <c:axPos val="b"/>
        <c:numFmt formatCode="General" sourceLinked="0"/>
        <c:majorTickMark val="none"/>
        <c:minorTickMark val="none"/>
        <c:tickLblPos val="nextTo"/>
        <c:spPr>
          <a:no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0" i="0" u="none" strike="noStrike" kern="1200" baseline="0">
                <a:solidFill>
                  <a:srgbClr val="000000"/>
                </a:solidFill>
                <a:latin typeface="Calibri"/>
              </a:defRPr>
            </a:pPr>
            <a:endParaRPr lang="pl-PL"/>
          </a:p>
        </c:txPr>
        <c:crossAx val="169428480"/>
        <c:crosses val="autoZero"/>
        <c:auto val="1"/>
        <c:lblAlgn val="ctr"/>
        <c:lblOffset val="100"/>
        <c:noMultiLvlLbl val="0"/>
      </c:cat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lang="pl-PL" sz="1000" b="0" i="0" u="none" strike="noStrike" kern="1200" baseline="0">
              <a:solidFill>
                <a:srgbClr val="000000"/>
              </a:solidFill>
              <a:latin typeface="Calibri"/>
            </a:defRPr>
          </a:pPr>
          <a:endParaRPr lang="pl-PL"/>
        </a:p>
      </c:txPr>
    </c:legend>
    <c:plotVisOnly val="1"/>
    <c:dispBlanksAs val="gap"/>
    <c:showDLblsOverMax val="0"/>
  </c:chart>
  <c:spPr>
    <a:solidFill>
      <a:srgbClr val="FFFFFF"/>
    </a:solidFill>
    <a:ln w="9528">
      <a:solidFill>
        <a:srgbClr val="868686"/>
      </a:solidFill>
      <a:prstDash val="solid"/>
      <a:round/>
    </a:ln>
  </c:spPr>
  <c:txPr>
    <a:bodyPr lIns="0" tIns="0" rIns="0" bIns="0"/>
    <a:lstStyle/>
    <a:p>
      <a:pPr marL="0" marR="0" indent="0" defTabSz="914400" fontAlgn="auto" hangingPunct="1">
        <a:lnSpc>
          <a:spcPct val="100000"/>
        </a:lnSpc>
        <a:spcBef>
          <a:spcPts val="0"/>
        </a:spcBef>
        <a:spcAft>
          <a:spcPts val="0"/>
        </a:spcAft>
        <a:tabLst/>
        <a:defRPr lang="pl-PL" sz="1000" b="0" i="0" u="none" strike="noStrike" kern="1200" baseline="0">
          <a:solidFill>
            <a:srgbClr val="000000"/>
          </a:solidFill>
          <a:latin typeface="Calibri"/>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E38E7-35D4-4E3E-8C1D-EFE727756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14</Pages>
  <Words>3514</Words>
  <Characters>21090</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24555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user</cp:lastModifiedBy>
  <cp:revision>18</cp:revision>
  <cp:lastPrinted>2015-01-22T13:26:00Z</cp:lastPrinted>
  <dcterms:created xsi:type="dcterms:W3CDTF">2014-11-10T13:27:00Z</dcterms:created>
  <dcterms:modified xsi:type="dcterms:W3CDTF">2015-01-22T13:26:00Z</dcterms:modified>
</cp:coreProperties>
</file>