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w:t>
      </w:r>
      <w:r w:rsidR="00010012">
        <w:rPr>
          <w:rFonts w:ascii="Times New Roman" w:hAnsi="Times New Roman" w:cs="Times New Roman"/>
          <w:sz w:val="24"/>
          <w:szCs w:val="24"/>
        </w:rPr>
        <w:t>599.380,49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 xml:space="preserve">dochody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00183DFE">
        <w:rPr>
          <w:rFonts w:ascii="Times New Roman" w:hAnsi="Times New Roman" w:cs="Times New Roman"/>
          <w:sz w:val="24"/>
          <w:szCs w:val="24"/>
        </w:rPr>
        <w:t>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F141CC">
        <w:rPr>
          <w:rFonts w:ascii="Times New Roman" w:hAnsi="Times New Roman" w:cs="Times New Roman"/>
          <w:sz w:val="24"/>
          <w:szCs w:val="24"/>
        </w:rPr>
        <w:t xml:space="preserve"> i 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2019  planowana kwota wynosi 13.131.081 zł i jest wyższa od planu br. </w:t>
      </w:r>
      <w:r w:rsidR="006529C6">
        <w:rPr>
          <w:rFonts w:ascii="Times New Roman" w:hAnsi="Times New Roman" w:cs="Times New Roman"/>
          <w:sz w:val="24"/>
          <w:szCs w:val="24"/>
        </w:rPr>
        <w:t xml:space="preserve">o </w:t>
      </w:r>
      <w:r w:rsidR="007102E1">
        <w:rPr>
          <w:rFonts w:ascii="Times New Roman" w:hAnsi="Times New Roman" w:cs="Times New Roman"/>
          <w:sz w:val="24"/>
          <w:szCs w:val="24"/>
        </w:rPr>
        <w:t>15,31%</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w:t>
      </w:r>
      <w:r w:rsidR="007102E1">
        <w:rPr>
          <w:rFonts w:ascii="Times New Roman" w:hAnsi="Times New Roman" w:cs="Times New Roman"/>
          <w:color w:val="000000"/>
          <w:sz w:val="24"/>
          <w:szCs w:val="24"/>
        </w:rPr>
        <w:t>d 10,12% w roku 2020 oraz w kolejnych latach 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planuje się osiągnięcie wpływów z podatku od czynności cywilnoprawnych na podstawie obowiązujących ustaw oraz wykonania dochodów w 201</w:t>
      </w:r>
      <w:r w:rsidR="00CD1FD6">
        <w:rPr>
          <w:rFonts w:ascii="Times New Roman" w:hAnsi="Times New Roman" w:cs="Times New Roman"/>
          <w:sz w:val="24"/>
          <w:szCs w:val="24"/>
        </w:rPr>
        <w:t>7</w:t>
      </w:r>
      <w:r w:rsidR="007102E1">
        <w:rPr>
          <w:rFonts w:ascii="Times New Roman" w:hAnsi="Times New Roman" w:cs="Times New Roman"/>
          <w:sz w:val="24"/>
          <w:szCs w:val="24"/>
        </w:rPr>
        <w:br/>
      </w:r>
      <w:r w:rsidRPr="00345A42">
        <w:rPr>
          <w:rFonts w:ascii="Times New Roman" w:hAnsi="Times New Roman" w:cs="Times New Roman"/>
          <w:sz w:val="24"/>
          <w:szCs w:val="24"/>
        </w:rPr>
        <w:t xml:space="preserve"> </w:t>
      </w:r>
      <w:r w:rsidR="007102E1">
        <w:rPr>
          <w:rFonts w:ascii="Times New Roman" w:hAnsi="Times New Roman" w:cs="Times New Roman"/>
          <w:sz w:val="24"/>
          <w:szCs w:val="24"/>
        </w:rPr>
        <w:t>i 2018 roku</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7102E1">
        <w:rPr>
          <w:rFonts w:ascii="Times New Roman" w:hAnsi="Times New Roman" w:cs="Times New Roman"/>
          <w:color w:val="000000"/>
          <w:sz w:val="24"/>
          <w:szCs w:val="24"/>
        </w:rPr>
        <w:t>w tej samej wysokości</w:t>
      </w:r>
      <w:r w:rsidR="00CD1F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biorąc pod uwagę wykonanie za trzy kwartały br. i prognozowane dochody na koniec 201</w:t>
      </w:r>
      <w:r w:rsidR="007102E1">
        <w:rPr>
          <w:rFonts w:ascii="Times New Roman" w:hAnsi="Times New Roman" w:cs="Times New Roman"/>
          <w:color w:val="000000"/>
          <w:sz w:val="24"/>
          <w:szCs w:val="24"/>
        </w:rPr>
        <w:t>8</w:t>
      </w:r>
      <w:r>
        <w:rPr>
          <w:rFonts w:ascii="Times New Roman" w:hAnsi="Times New Roman" w:cs="Times New Roman"/>
          <w:color w:val="000000"/>
          <w:sz w:val="24"/>
          <w:szCs w:val="24"/>
        </w:rPr>
        <w:t xml:space="preserve"> roku. Natomiast od </w:t>
      </w:r>
      <w:r>
        <w:rPr>
          <w:rFonts w:ascii="Times New Roman" w:hAnsi="Times New Roman" w:cs="Times New Roman"/>
          <w:color w:val="000000"/>
          <w:sz w:val="24"/>
          <w:szCs w:val="24"/>
        </w:rPr>
        <w:lastRenderedPageBreak/>
        <w:t xml:space="preserve">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w:t>
      </w:r>
      <w:r w:rsidR="006529C6">
        <w:rPr>
          <w:rFonts w:ascii="Times New Roman" w:hAnsi="Times New Roman" w:cs="Times New Roman"/>
          <w:sz w:val="24"/>
          <w:szCs w:val="24"/>
        </w:rPr>
        <w:t>roku</w:t>
      </w:r>
      <w:r w:rsidRPr="00345A42">
        <w:rPr>
          <w:rFonts w:ascii="Times New Roman" w:hAnsi="Times New Roman" w:cs="Times New Roman"/>
          <w:sz w:val="24"/>
          <w:szCs w:val="24"/>
        </w:rPr>
        <w:t xml:space="preserve"> 201</w:t>
      </w:r>
      <w:r w:rsidR="00B74922">
        <w:rPr>
          <w:rFonts w:ascii="Times New Roman" w:hAnsi="Times New Roman" w:cs="Times New Roman"/>
          <w:sz w:val="24"/>
          <w:szCs w:val="24"/>
        </w:rPr>
        <w:t>9</w:t>
      </w:r>
      <w:r>
        <w:rPr>
          <w:rFonts w:ascii="Times New Roman" w:hAnsi="Times New Roman" w:cs="Times New Roman"/>
          <w:sz w:val="24"/>
          <w:szCs w:val="24"/>
        </w:rPr>
        <w:t xml:space="preserve"> </w:t>
      </w:r>
      <w:r w:rsidR="00D30F94">
        <w:rPr>
          <w:rFonts w:ascii="Times New Roman" w:hAnsi="Times New Roman" w:cs="Times New Roman"/>
          <w:sz w:val="24"/>
          <w:szCs w:val="24"/>
        </w:rPr>
        <w:t xml:space="preserve">zaplanowano wzrost o 50% uwzględniając przewidywane wykonanie na koniec 2018 roku. W kolejnych latach objętych prognozą </w:t>
      </w:r>
      <w:r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D30F94">
        <w:rPr>
          <w:rFonts w:ascii="Times New Roman" w:hAnsi="Times New Roman" w:cs="Times New Roman"/>
          <w:sz w:val="24"/>
          <w:szCs w:val="24"/>
        </w:rPr>
        <w:t>2</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sidR="00D30F94">
        <w:rPr>
          <w:rFonts w:ascii="Times New Roman" w:hAnsi="Times New Roman" w:cs="Times New Roman"/>
          <w:sz w:val="24"/>
          <w:szCs w:val="24"/>
        </w:rPr>
        <w:t>i 2019 r.</w:t>
      </w:r>
      <w:r w:rsidR="00D30F94">
        <w:rPr>
          <w:rFonts w:ascii="Times New Roman" w:hAnsi="Times New Roman" w:cs="Times New Roman"/>
          <w:sz w:val="24"/>
          <w:szCs w:val="24"/>
        </w:rPr>
        <w:br/>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sidR="00A04F26">
        <w:rPr>
          <w:rFonts w:ascii="Times New Roman" w:hAnsi="Times New Roman" w:cs="Times New Roman"/>
          <w:sz w:val="24"/>
          <w:szCs w:val="24"/>
        </w:rPr>
        <w:t>%, w 2019 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5624C3">
        <w:rPr>
          <w:rFonts w:ascii="Times New Roman" w:hAnsi="Times New Roman" w:cs="Times New Roman"/>
          <w:sz w:val="24"/>
          <w:szCs w:val="24"/>
        </w:rPr>
        <w:t>2</w:t>
      </w:r>
      <w:r w:rsidR="0016669E">
        <w:rPr>
          <w:rFonts w:ascii="Times New Roman" w:hAnsi="Times New Roman" w:cs="Times New Roman"/>
          <w:sz w:val="24"/>
          <w:szCs w:val="24"/>
        </w:rPr>
        <w:t>2</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2018 </w:t>
      </w:r>
      <w:r>
        <w:rPr>
          <w:rFonts w:ascii="Times New Roman" w:hAnsi="Times New Roman" w:cs="Times New Roman"/>
          <w:sz w:val="24"/>
          <w:szCs w:val="24"/>
        </w:rPr>
        <w:t>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2019 </w:t>
      </w:r>
      <w:r w:rsidRPr="00345A42">
        <w:rPr>
          <w:rFonts w:ascii="Times New Roman" w:hAnsi="Times New Roman" w:cs="Times New Roman"/>
          <w:sz w:val="24"/>
          <w:szCs w:val="24"/>
        </w:rPr>
        <w:t>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w:t>
      </w:r>
      <w:r w:rsidR="0016669E">
        <w:rPr>
          <w:rFonts w:ascii="Times New Roman" w:hAnsi="Times New Roman" w:cs="Times New Roman"/>
          <w:sz w:val="24"/>
          <w:szCs w:val="24"/>
        </w:rPr>
        <w:t xml:space="preserve"> i 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r w:rsidR="0016669E">
        <w:rPr>
          <w:rFonts w:ascii="Times New Roman" w:hAnsi="Times New Roman" w:cs="Times New Roman"/>
          <w:sz w:val="24"/>
          <w:szCs w:val="24"/>
        </w:rPr>
        <w:t xml:space="preserve"> i przewidywanego wykonania w 2018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6"/>
                <w:szCs w:val="16"/>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010012">
        <w:rPr>
          <w:rFonts w:ascii="Times New Roman" w:hAnsi="Times New Roman" w:cs="Times New Roman"/>
          <w:sz w:val="24"/>
          <w:szCs w:val="24"/>
        </w:rPr>
        <w:t>25</w:t>
      </w:r>
      <w:r w:rsidR="00F439A5">
        <w:rPr>
          <w:rFonts w:ascii="Times New Roman" w:hAnsi="Times New Roman" w:cs="Times New Roman"/>
          <w:sz w:val="24"/>
          <w:szCs w:val="24"/>
        </w:rPr>
        <w:t>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B87CC5"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BF19EF"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zadania wymienione w pkt 2 i 3 zostały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010012">
        <w:rPr>
          <w:rFonts w:ascii="Times New Roman" w:hAnsi="Times New Roman" w:cs="Times New Roman"/>
          <w:sz w:val="24"/>
          <w:szCs w:val="24"/>
        </w:rPr>
        <w:t>767.151,68</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010012">
        <w:rPr>
          <w:rFonts w:ascii="Times New Roman" w:hAnsi="Times New Roman" w:cs="Times New Roman"/>
          <w:sz w:val="24"/>
          <w:szCs w:val="24"/>
        </w:rPr>
        <w:t>18.</w:t>
      </w:r>
      <w:r w:rsidR="00927435">
        <w:rPr>
          <w:rFonts w:ascii="Times New Roman" w:hAnsi="Times New Roman" w:cs="Times New Roman"/>
          <w:sz w:val="24"/>
          <w:szCs w:val="24"/>
        </w:rPr>
        <w:t>796.129,16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w:t>
      </w:r>
      <w:r w:rsidR="00927435">
        <w:rPr>
          <w:rFonts w:ascii="Times New Roman" w:hAnsi="Times New Roman" w:cs="Times New Roman"/>
          <w:sz w:val="24"/>
          <w:szCs w:val="24"/>
        </w:rPr>
        <w:t>95</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010012">
        <w:rPr>
          <w:rFonts w:ascii="Times New Roman" w:hAnsi="Times New Roman" w:cs="Times New Roman"/>
          <w:sz w:val="24"/>
          <w:szCs w:val="24"/>
        </w:rPr>
        <w:t>1.999.464,92</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w:t>
      </w:r>
      <w:r w:rsidR="00135768">
        <w:rPr>
          <w:rFonts w:ascii="Times New Roman" w:hAnsi="Times New Roman" w:cs="Times New Roman"/>
          <w:sz w:val="24"/>
          <w:szCs w:val="24"/>
        </w:rPr>
        <w:t>7</w:t>
      </w:r>
      <w:r w:rsidR="00927435">
        <w:rPr>
          <w:rFonts w:ascii="Times New Roman" w:hAnsi="Times New Roman" w:cs="Times New Roman"/>
          <w:sz w:val="24"/>
          <w:szCs w:val="24"/>
        </w:rPr>
        <w:t>6</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10012">
        <w:rPr>
          <w:rFonts w:ascii="Times New Roman" w:hAnsi="Times New Roman" w:cs="Times New Roman"/>
          <w:sz w:val="24"/>
          <w:szCs w:val="24"/>
        </w:rPr>
        <w:t>3.830.938,88</w:t>
      </w:r>
      <w:r w:rsidRPr="00E23514">
        <w:rPr>
          <w:rFonts w:ascii="Times New Roman" w:hAnsi="Times New Roman" w:cs="Times New Roman"/>
          <w:sz w:val="24"/>
          <w:szCs w:val="24"/>
        </w:rPr>
        <w:t xml:space="preserve"> zł tj. </w:t>
      </w:r>
      <w:r w:rsidR="00927435">
        <w:rPr>
          <w:rFonts w:ascii="Times New Roman" w:hAnsi="Times New Roman" w:cs="Times New Roman"/>
          <w:sz w:val="24"/>
          <w:szCs w:val="24"/>
        </w:rPr>
        <w:t>14,87</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010012">
        <w:rPr>
          <w:rFonts w:ascii="Times New Roman" w:hAnsi="Times New Roman" w:cs="Times New Roman"/>
          <w:sz w:val="24"/>
          <w:szCs w:val="24"/>
        </w:rPr>
        <w:t>606.824,67</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927435">
        <w:rPr>
          <w:rFonts w:ascii="Times New Roman" w:hAnsi="Times New Roman" w:cs="Times New Roman"/>
          <w:sz w:val="24"/>
          <w:szCs w:val="24"/>
        </w:rPr>
        <w:t>5</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927435">
        <w:rPr>
          <w:rFonts w:ascii="Times New Roman" w:hAnsi="Times New Roman" w:cs="Times New Roman"/>
          <w:sz w:val="24"/>
          <w:szCs w:val="24"/>
        </w:rPr>
        <w:t>533.794,05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927435">
        <w:rPr>
          <w:rFonts w:ascii="Times New Roman" w:hAnsi="Times New Roman" w:cs="Times New Roman"/>
          <w:sz w:val="24"/>
          <w:szCs w:val="24"/>
        </w:rPr>
        <w:t>07</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Zaplanowane wydatki na 2019 rok z wynagrodzeń i pochodnych od nich naliczone na ogólną kwotę 26.134.714,49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1.848.690,50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4.470.798,61 zł tj.</w:t>
      </w:r>
      <w:r w:rsidR="00CC543A">
        <w:rPr>
          <w:rFonts w:ascii="Times New Roman" w:hAnsi="Times New Roman" w:cs="Times New Roman"/>
          <w:sz w:val="24"/>
          <w:szCs w:val="24"/>
        </w:rPr>
        <w:t>17,11%</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Projekty ze środków europejskich – </w:t>
      </w:r>
      <w:r>
        <w:rPr>
          <w:rFonts w:ascii="Times New Roman" w:hAnsi="Times New Roman" w:cs="Times New Roman"/>
          <w:sz w:val="24"/>
          <w:szCs w:val="24"/>
        </w:rPr>
        <w:t>38.997,38</w:t>
      </w:r>
      <w:r w:rsidR="00CC543A">
        <w:rPr>
          <w:rFonts w:ascii="Times New Roman" w:hAnsi="Times New Roman" w:cs="Times New Roman"/>
          <w:sz w:val="24"/>
          <w:szCs w:val="24"/>
        </w:rPr>
        <w:t xml:space="preserve"> z</w:t>
      </w:r>
      <w:r w:rsidRPr="00781052">
        <w:rPr>
          <w:rFonts w:ascii="Times New Roman" w:hAnsi="Times New Roman" w:cs="Times New Roman"/>
          <w:sz w:val="24"/>
          <w:szCs w:val="24"/>
        </w:rPr>
        <w:t xml:space="preserve">ł tj. </w:t>
      </w:r>
      <w:r w:rsidR="00CC543A">
        <w:rPr>
          <w:rFonts w:ascii="Times New Roman" w:hAnsi="Times New Roman" w:cs="Times New Roman"/>
          <w:sz w:val="24"/>
          <w:szCs w:val="24"/>
        </w:rPr>
        <w:t>0,15</w:t>
      </w:r>
      <w:r w:rsidRPr="00781052">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E5821">
        <w:rPr>
          <w:rFonts w:ascii="Times New Roman" w:hAnsi="Times New Roman" w:cs="Times New Roman"/>
          <w:sz w:val="24"/>
          <w:szCs w:val="24"/>
        </w:rPr>
        <w:t>4.</w:t>
      </w:r>
      <w:r w:rsidR="00927435">
        <w:rPr>
          <w:rFonts w:ascii="Times New Roman" w:hAnsi="Times New Roman" w:cs="Times New Roman"/>
          <w:sz w:val="24"/>
          <w:szCs w:val="24"/>
        </w:rPr>
        <w:t>907.658,01</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00CA3631">
        <w:rPr>
          <w:rFonts w:ascii="Times New Roman" w:hAnsi="Times New Roman" w:cs="Times New Roman"/>
          <w:sz w:val="24"/>
          <w:szCs w:val="24"/>
        </w:rPr>
        <w:t xml:space="preserve">W 2019 roku zapanowano wydatki w wysokości 4.939.411,24 zł (bez wzrostu wynagrodzeń) </w:t>
      </w:r>
      <w:r w:rsidRPr="00345A42">
        <w:rPr>
          <w:rFonts w:ascii="Times New Roman" w:hAnsi="Times New Roman" w:cs="Times New Roman"/>
          <w:sz w:val="24"/>
          <w:szCs w:val="24"/>
        </w:rPr>
        <w:t>W następnych latach tj. 20</w:t>
      </w:r>
      <w:r w:rsidR="00CA3631">
        <w:rPr>
          <w:rFonts w:ascii="Times New Roman" w:hAnsi="Times New Roman" w:cs="Times New Roman"/>
          <w:sz w:val="24"/>
          <w:szCs w:val="24"/>
        </w:rPr>
        <w:t>20</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00CA3631">
        <w:rPr>
          <w:rFonts w:ascii="Times New Roman" w:hAnsi="Times New Roman" w:cs="Times New Roman"/>
          <w:sz w:val="24"/>
          <w:szCs w:val="24"/>
        </w:rPr>
        <w:t>,5</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29307E">
        <w:rPr>
          <w:rFonts w:ascii="Times New Roman" w:hAnsi="Times New Roman" w:cs="Times New Roman"/>
          <w:sz w:val="24"/>
          <w:szCs w:val="24"/>
        </w:rPr>
        <w:t>76.</w:t>
      </w:r>
      <w:r w:rsidR="00927435">
        <w:rPr>
          <w:rFonts w:ascii="Times New Roman" w:hAnsi="Times New Roman" w:cs="Times New Roman"/>
          <w:sz w:val="24"/>
          <w:szCs w:val="24"/>
        </w:rPr>
        <w:t>679.831</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927435">
        <w:rPr>
          <w:rFonts w:ascii="Times New Roman" w:hAnsi="Times New Roman" w:cs="Times New Roman"/>
          <w:sz w:val="24"/>
          <w:szCs w:val="24"/>
        </w:rPr>
        <w:t>340</w:t>
      </w:r>
      <w:r w:rsidR="004A4C47">
        <w:rPr>
          <w:rFonts w:ascii="Times New Roman" w:hAnsi="Times New Roman" w:cs="Times New Roman"/>
          <w:sz w:val="24"/>
          <w:szCs w:val="24"/>
        </w:rPr>
        <w:t>.400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CA36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 xml:space="preserve">Zmniejszenie </w:t>
      </w:r>
      <w:r w:rsidR="003D2938">
        <w:rPr>
          <w:rFonts w:ascii="Times New Roman" w:hAnsi="Times New Roman" w:cs="Times New Roman"/>
          <w:sz w:val="24"/>
          <w:szCs w:val="24"/>
        </w:rPr>
        <w:t xml:space="preserve">zaplanowanych </w:t>
      </w:r>
      <w:r>
        <w:rPr>
          <w:rFonts w:ascii="Times New Roman" w:hAnsi="Times New Roman" w:cs="Times New Roman"/>
          <w:sz w:val="24"/>
          <w:szCs w:val="24"/>
        </w:rPr>
        <w:t xml:space="preserve">wydatków bieżących w 2019 roku do kwoty 72.360.853,78 zł związany jest 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sidR="002045BD">
        <w:rPr>
          <w:rFonts w:ascii="Times New Roman" w:hAnsi="Times New Roman" w:cs="Times New Roman"/>
          <w:sz w:val="24"/>
          <w:szCs w:val="24"/>
        </w:rPr>
        <w:t>2,5</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 xml:space="preserve">z przyjętymi harmonogramami ich realizacji oraz uzależnione są od poszczególnych </w:t>
      </w:r>
      <w:r w:rsidRPr="00345A42">
        <w:rPr>
          <w:rFonts w:ascii="Times New Roman" w:hAnsi="Times New Roman" w:cs="Times New Roman"/>
          <w:sz w:val="24"/>
          <w:szCs w:val="24"/>
        </w:rPr>
        <w:lastRenderedPageBreak/>
        <w:t>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27435">
        <w:rPr>
          <w:rFonts w:ascii="Times New Roman" w:hAnsi="Times New Roman" w:cs="Times New Roman"/>
          <w:sz w:val="24"/>
          <w:szCs w:val="24"/>
        </w:rPr>
        <w:t>868.091,11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110C45" w:rsidRDefault="00110C45">
      <w:pPr>
        <w:rPr>
          <w:rFonts w:ascii="Times New Roman" w:hAnsi="Times New Roman" w:cs="Times New Roman"/>
          <w:sz w:val="24"/>
          <w:szCs w:val="24"/>
        </w:rPr>
      </w:pPr>
      <w:r>
        <w:rPr>
          <w:rFonts w:ascii="Times New Roman" w:hAnsi="Times New Roman" w:cs="Times New Roman"/>
          <w:sz w:val="24"/>
          <w:szCs w:val="24"/>
        </w:rPr>
        <w:br w:type="page"/>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lastRenderedPageBreak/>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lastRenderedPageBreak/>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7C49AD">
        <w:rPr>
          <w:rFonts w:ascii="Times New Roman" w:hAnsi="Times New Roman" w:cs="Times New Roman"/>
          <w:b/>
          <w:bCs/>
          <w:i/>
          <w:sz w:val="24"/>
          <w:szCs w:val="24"/>
        </w:rPr>
        <w:t>464.707,11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73164C">
        <w:rPr>
          <w:rFonts w:ascii="Times New Roman" w:hAnsi="Times New Roman" w:cs="Times New Roman"/>
          <w:b/>
          <w:bCs/>
          <w:i/>
          <w:sz w:val="24"/>
          <w:szCs w:val="24"/>
        </w:rPr>
        <w:t>337.766,94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w:t>
      </w:r>
      <w:r w:rsidR="007C49AD">
        <w:rPr>
          <w:rFonts w:ascii="Times New Roman" w:hAnsi="Times New Roman" w:cs="Times New Roman"/>
          <w:b/>
          <w:bCs/>
          <w:i/>
          <w:sz w:val="24"/>
          <w:szCs w:val="24"/>
        </w:rPr>
        <w:t>028.766,94</w:t>
      </w:r>
      <w:r w:rsidR="00742223" w:rsidRPr="00345707">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w:t>
      </w:r>
      <w:r w:rsidR="0073164C">
        <w:rPr>
          <w:i/>
        </w:rPr>
        <w:t>4</w:t>
      </w:r>
      <w:r w:rsidR="00345707">
        <w:rPr>
          <w:i/>
        </w:rPr>
        <w:t>.</w:t>
      </w:r>
      <w:r w:rsidR="0073164C">
        <w:rPr>
          <w:i/>
        </w:rPr>
        <w:t>451,89</w:t>
      </w:r>
      <w:r w:rsidR="00345707">
        <w:rPr>
          <w:i/>
        </w:rPr>
        <w:t xml:space="preserve">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w:t>
      </w:r>
      <w:r w:rsidR="0073164C">
        <w:rPr>
          <w:i/>
        </w:rPr>
        <w:t>315,05</w:t>
      </w:r>
      <w:r>
        <w:rPr>
          <w:i/>
        </w:rPr>
        <w:t xml:space="preserve"> zł</w:t>
      </w:r>
      <w:r w:rsidR="00C84105">
        <w:rPr>
          <w:i/>
        </w:rPr>
        <w:t xml:space="preserve"> (udział własny w projekcie 1.204.</w:t>
      </w:r>
      <w:r w:rsidR="0073164C">
        <w:rPr>
          <w:i/>
        </w:rPr>
        <w:t>315,05</w:t>
      </w:r>
      <w:r w:rsidR="00C84105">
        <w:rPr>
          <w:i/>
        </w:rPr>
        <w:t xml:space="preserve">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w:t>
      </w:r>
      <w:r w:rsidR="00F21CFC" w:rsidRPr="007E4BF6">
        <w:rPr>
          <w:rFonts w:ascii="Times New Roman" w:hAnsi="Times New Roman" w:cs="Times New Roman"/>
        </w:rPr>
        <w:lastRenderedPageBreak/>
        <w:t>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927435">
        <w:rPr>
          <w:rFonts w:ascii="Times New Roman" w:hAnsi="Times New Roman" w:cs="Times New Roman"/>
          <w:bCs/>
          <w:sz w:val="24"/>
          <w:szCs w:val="24"/>
        </w:rPr>
        <w:t>604</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927435">
        <w:rPr>
          <w:rFonts w:ascii="Times New Roman" w:hAnsi="Times New Roman" w:cs="Times New Roman"/>
          <w:bCs/>
          <w:sz w:val="24"/>
          <w:szCs w:val="24"/>
        </w:rPr>
        <w:t>221.031</w:t>
      </w:r>
      <w:r w:rsidR="00122BE2" w:rsidRPr="00122BE2">
        <w:rPr>
          <w:rFonts w:ascii="Times New Roman" w:hAnsi="Times New Roman" w:cs="Times New Roman"/>
          <w:bCs/>
          <w:sz w:val="24"/>
          <w:szCs w:val="24"/>
        </w:rPr>
        <w:t>,39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w:t>
      </w:r>
      <w:r w:rsidR="00927435">
        <w:rPr>
          <w:rFonts w:ascii="Times New Roman" w:hAnsi="Times New Roman" w:cs="Times New Roman"/>
          <w:bCs/>
          <w:sz w:val="24"/>
          <w:szCs w:val="24"/>
        </w:rPr>
        <w:t xml:space="preserve"> wraz z chodnikiem</w:t>
      </w:r>
      <w:r w:rsidR="00122BE2" w:rsidRPr="00122BE2">
        <w:rPr>
          <w:rFonts w:ascii="Times New Roman" w:hAnsi="Times New Roman" w:cs="Times New Roman"/>
          <w:bCs/>
          <w:sz w:val="24"/>
          <w:szCs w:val="24"/>
        </w:rPr>
        <w:t xml:space="preserve">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w:t>
      </w:r>
      <w:r w:rsidR="00482418">
        <w:rPr>
          <w:rFonts w:ascii="Times New Roman" w:hAnsi="Times New Roman" w:cs="Times New Roman"/>
          <w:bCs/>
          <w:sz w:val="24"/>
          <w:szCs w:val="24"/>
        </w:rPr>
        <w:t>9</w:t>
      </w:r>
      <w:r>
        <w:rPr>
          <w:rFonts w:ascii="Times New Roman" w:hAnsi="Times New Roman" w:cs="Times New Roman"/>
          <w:bCs/>
          <w:sz w:val="24"/>
          <w:szCs w:val="24"/>
        </w:rPr>
        <w:t>.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9E07BB">
        <w:rPr>
          <w:rFonts w:ascii="Times New Roman" w:hAnsi="Times New Roman" w:cs="Times New Roman"/>
          <w:i/>
          <w:sz w:val="24"/>
          <w:szCs w:val="24"/>
        </w:rPr>
        <w:t>101</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lastRenderedPageBreak/>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została</w:t>
      </w:r>
      <w:r>
        <w:rPr>
          <w:rFonts w:ascii="Times New Roman" w:hAnsi="Times New Roman" w:cs="Times New Roman"/>
          <w:i/>
          <w:sz w:val="24"/>
          <w:szCs w:val="24"/>
        </w:rPr>
        <w:t xml:space="preserve"> </w:t>
      </w:r>
      <w:r w:rsidR="00DD3654">
        <w:rPr>
          <w:rFonts w:ascii="Times New Roman" w:hAnsi="Times New Roman" w:cs="Times New Roman"/>
          <w:i/>
          <w:sz w:val="24"/>
          <w:szCs w:val="24"/>
        </w:rPr>
        <w:t>zawarta w październiku 2018 roku</w:t>
      </w:r>
      <w:r>
        <w:rPr>
          <w:rFonts w:ascii="Times New Roman" w:hAnsi="Times New Roman" w:cs="Times New Roman"/>
          <w:i/>
          <w:sz w:val="24"/>
          <w:szCs w:val="24"/>
        </w:rPr>
        <w:t xml:space="preserve">. Łączne nakłady zaplanowano w wysokości </w:t>
      </w:r>
      <w:r w:rsidR="00DD3654">
        <w:rPr>
          <w:rFonts w:ascii="Times New Roman" w:hAnsi="Times New Roman" w:cs="Times New Roman"/>
          <w:i/>
          <w:sz w:val="24"/>
          <w:szCs w:val="24"/>
        </w:rPr>
        <w:t>w wysokości 749.789 zł</w:t>
      </w:r>
      <w:r>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DD3654">
        <w:rPr>
          <w:rFonts w:ascii="Times New Roman" w:hAnsi="Times New Roman" w:cs="Times New Roman"/>
          <w:b/>
        </w:rPr>
        <w:t>15.</w:t>
      </w:r>
      <w:r w:rsidR="00927435">
        <w:rPr>
          <w:rFonts w:ascii="Times New Roman" w:hAnsi="Times New Roman" w:cs="Times New Roman"/>
          <w:b/>
        </w:rPr>
        <w:t>405</w:t>
      </w:r>
      <w:r w:rsidR="00DD3654">
        <w:rPr>
          <w:rFonts w:ascii="Times New Roman" w:hAnsi="Times New Roman" w:cs="Times New Roman"/>
          <w:b/>
        </w:rPr>
        <w:t>.070,29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927435">
        <w:rPr>
          <w:rFonts w:ascii="Times New Roman" w:hAnsi="Times New Roman" w:cs="Times New Roman"/>
          <w:b/>
        </w:rPr>
        <w:t>438</w:t>
      </w:r>
      <w:r w:rsidR="00DD3654">
        <w:rPr>
          <w:rFonts w:ascii="Times New Roman" w:hAnsi="Times New Roman" w:cs="Times New Roman"/>
          <w:b/>
        </w:rPr>
        <w:t>.804,03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D3371E">
        <w:rPr>
          <w:rFonts w:ascii="Times New Roman" w:hAnsi="Times New Roman" w:cs="Times New Roman"/>
          <w:sz w:val="24"/>
          <w:szCs w:val="24"/>
        </w:rPr>
        <w:t>244.042,85</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D3371E">
        <w:rPr>
          <w:rFonts w:ascii="Times New Roman" w:hAnsi="Times New Roman" w:cs="Times New Roman"/>
          <w:sz w:val="24"/>
          <w:szCs w:val="24"/>
        </w:rPr>
        <w:t>32</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D3371E">
        <w:rPr>
          <w:rFonts w:ascii="Times New Roman" w:hAnsi="Times New Roman" w:cs="Times New Roman"/>
          <w:sz w:val="24"/>
          <w:szCs w:val="24"/>
        </w:rPr>
        <w:t>051.945,79</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927435">
        <w:rPr>
          <w:rFonts w:ascii="Times New Roman" w:hAnsi="Times New Roman" w:cs="Times New Roman"/>
          <w:sz w:val="24"/>
          <w:szCs w:val="24"/>
        </w:rPr>
        <w:t>44</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927435">
        <w:rPr>
          <w:rFonts w:ascii="Times New Roman" w:hAnsi="Times New Roman" w:cs="Times New Roman"/>
          <w:sz w:val="24"/>
          <w:szCs w:val="24"/>
        </w:rPr>
        <w:t>11</w:t>
      </w:r>
      <w:r w:rsidR="005F7ED1">
        <w:rPr>
          <w:rFonts w:ascii="Times New Roman" w:hAnsi="Times New Roman" w:cs="Times New Roman"/>
          <w:sz w:val="24"/>
          <w:szCs w:val="24"/>
        </w:rPr>
        <w:t>5</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drogi w m. Owczegłowy  - 270.700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927435">
        <w:rPr>
          <w:rFonts w:ascii="Times New Roman" w:hAnsi="Times New Roman" w:cs="Times New Roman"/>
          <w:sz w:val="24"/>
          <w:szCs w:val="24"/>
        </w:rPr>
        <w:t>429.287,08</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w:t>
      </w:r>
      <w:r w:rsidR="00DD3654">
        <w:rPr>
          <w:rFonts w:ascii="Times New Roman" w:hAnsi="Times New Roman" w:cs="Times New Roman"/>
          <w:sz w:val="24"/>
          <w:szCs w:val="24"/>
        </w:rPr>
        <w:t>396.961,26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w:t>
      </w:r>
      <w:r w:rsidR="00DD3654">
        <w:rPr>
          <w:rFonts w:ascii="Times New Roman" w:hAnsi="Times New Roman" w:cs="Times New Roman"/>
          <w:sz w:val="24"/>
          <w:szCs w:val="24"/>
        </w:rPr>
        <w:t>173.478</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w:t>
      </w:r>
      <w:r w:rsidR="00DD3654">
        <w:rPr>
          <w:rFonts w:ascii="Times New Roman" w:hAnsi="Times New Roman" w:cs="Times New Roman"/>
          <w:sz w:val="24"/>
          <w:szCs w:val="24"/>
        </w:rPr>
        <w:t>210.761,26</w:t>
      </w:r>
      <w:r w:rsidR="000D0C55">
        <w:rPr>
          <w:rFonts w:ascii="Times New Roman" w:hAnsi="Times New Roman" w:cs="Times New Roman"/>
          <w:sz w:val="24"/>
          <w:szCs w:val="24"/>
        </w:rPr>
        <w:t xml:space="preserve"> zł.</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r w:rsidR="00DD3654">
        <w:rPr>
          <w:rFonts w:ascii="Times New Roman" w:hAnsi="Times New Roman" w:cs="Times New Roman"/>
          <w:sz w:val="24"/>
          <w:szCs w:val="24"/>
        </w:rPr>
        <w:t xml:space="preserve"> za wyjątkiem roku 2020</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0655EF">
        <w:trPr>
          <w:trHeight w:val="330"/>
        </w:trPr>
        <w:tc>
          <w:tcPr>
            <w:tcW w:w="7300" w:type="dxa"/>
            <w:gridSpan w:val="6"/>
            <w:tcBorders>
              <w:top w:val="nil"/>
              <w:left w:val="nil"/>
              <w:bottom w:val="nil"/>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2018-2037 (po zmianach)</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nil"/>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nil"/>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5C0C47">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2017</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31-12-2017r.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9 438 745,24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14 173 478,00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 </w:t>
            </w:r>
            <w:r w:rsidR="00D3371E">
              <w:rPr>
                <w:rFonts w:ascii="Calibri" w:eastAsia="Times New Roman" w:hAnsi="Calibri" w:cs="Calibri"/>
                <w:color w:val="000000"/>
                <w:sz w:val="18"/>
                <w:szCs w:val="18"/>
                <w:lang w:eastAsia="pl-PL"/>
              </w:rPr>
              <w:t>154</w:t>
            </w:r>
            <w:r w:rsidRPr="005C0C47">
              <w:rPr>
                <w:rFonts w:ascii="Calibri" w:eastAsia="Times New Roman" w:hAnsi="Calibri" w:cs="Calibri"/>
                <w:color w:val="000000"/>
                <w:sz w:val="18"/>
                <w:szCs w:val="18"/>
                <w:lang w:eastAsia="pl-PL"/>
              </w:rPr>
              <w:t xml:space="preserve"> 200,00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1 813 800,00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D3371E" w:rsidP="00D3371E">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340 400,00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22 113 423,24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8C65E0">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2032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16 773 478,00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29 </w:t>
            </w:r>
            <w:r w:rsidR="00D3371E">
              <w:rPr>
                <w:rFonts w:ascii="Calibri" w:eastAsia="Times New Roman" w:hAnsi="Calibri" w:cs="Calibri"/>
                <w:color w:val="000000"/>
                <w:sz w:val="18"/>
                <w:szCs w:val="18"/>
                <w:lang w:eastAsia="pl-PL"/>
              </w:rPr>
              <w:t>647</w:t>
            </w:r>
            <w:r w:rsidRPr="005C0C47">
              <w:rPr>
                <w:rFonts w:ascii="Calibri" w:eastAsia="Times New Roman" w:hAnsi="Calibri" w:cs="Calibri"/>
                <w:color w:val="000000"/>
                <w:sz w:val="18"/>
                <w:szCs w:val="18"/>
                <w:lang w:eastAsia="pl-PL"/>
              </w:rPr>
              <w:t xml:space="preserve"> 784,24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26 212 223,24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3 </w:t>
            </w:r>
            <w:r w:rsidR="00D3371E">
              <w:rPr>
                <w:rFonts w:ascii="Calibri" w:eastAsia="Times New Roman" w:hAnsi="Calibri" w:cs="Calibri"/>
                <w:color w:val="000000"/>
                <w:sz w:val="18"/>
                <w:szCs w:val="18"/>
                <w:lang w:eastAsia="pl-PL"/>
              </w:rPr>
              <w:t>435</w:t>
            </w:r>
            <w:r w:rsidRPr="005C0C47">
              <w:rPr>
                <w:rFonts w:ascii="Calibri" w:eastAsia="Times New Roman" w:hAnsi="Calibri" w:cs="Calibri"/>
                <w:color w:val="000000"/>
                <w:sz w:val="18"/>
                <w:szCs w:val="18"/>
                <w:lang w:eastAsia="pl-PL"/>
              </w:rPr>
              <w:t xml:space="preserve"> 561,00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0D0C55" w:rsidRDefault="00463312" w:rsidP="000655EF">
      <w:pPr>
        <w:tabs>
          <w:tab w:val="right" w:pos="907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D3371E">
        <w:rPr>
          <w:rFonts w:ascii="Times New Roman" w:hAnsi="Times New Roman" w:cs="Times New Roman"/>
          <w:sz w:val="24"/>
          <w:szCs w:val="24"/>
        </w:rPr>
        <w:t>435.561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8C65E0">
        <w:rPr>
          <w:rFonts w:ascii="Times New Roman" w:hAnsi="Times New Roman" w:cs="Times New Roman"/>
          <w:sz w:val="24"/>
          <w:szCs w:val="24"/>
        </w:rPr>
        <w:t>26.212.223,24</w:t>
      </w:r>
      <w:r w:rsidR="0014621E" w:rsidRPr="009E3F3F">
        <w:rPr>
          <w:rFonts w:ascii="Times New Roman" w:hAnsi="Times New Roman" w:cs="Times New Roman"/>
          <w:sz w:val="24"/>
          <w:szCs w:val="24"/>
        </w:rPr>
        <w:t xml:space="preserve">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z tego tytułu zaplanowano na kwotę 16.000 zł, a dotycząca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D337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D3371E">
              <w:rPr>
                <w:rFonts w:ascii="Times New Roman" w:hAnsi="Times New Roman" w:cs="Times New Roman"/>
                <w:bCs/>
                <w:iCs/>
                <w:sz w:val="18"/>
                <w:szCs w:val="18"/>
              </w:rPr>
              <w:t>7</w:t>
            </w:r>
            <w:r w:rsidR="0029307E">
              <w:rPr>
                <w:rFonts w:ascii="Times New Roman" w:hAnsi="Times New Roman" w:cs="Times New Roman"/>
                <w:bCs/>
                <w:iCs/>
                <w:sz w:val="18"/>
                <w:szCs w:val="18"/>
              </w:rPr>
              <w:t>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D3371E">
              <w:rPr>
                <w:rFonts w:ascii="Times New Roman" w:hAnsi="Times New Roman" w:cs="Times New Roman"/>
                <w:bCs/>
                <w:iCs/>
                <w:sz w:val="18"/>
                <w:szCs w:val="18"/>
              </w:rPr>
              <w:t>31</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661699"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C65E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661699" w:rsidRP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2,57</w:t>
            </w:r>
          </w:p>
        </w:tc>
        <w:tc>
          <w:tcPr>
            <w:tcW w:w="2127" w:type="dxa"/>
          </w:tcPr>
          <w:p w:rsidR="00463312" w:rsidRPr="00661699"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C65E0">
              <w:rPr>
                <w:rFonts w:ascii="Times New Roman" w:hAnsi="Times New Roman" w:cs="Times New Roman"/>
                <w:bCs/>
                <w:iCs/>
                <w:sz w:val="18"/>
                <w:szCs w:val="18"/>
              </w:rPr>
              <w:t>15</w:t>
            </w:r>
          </w:p>
        </w:tc>
        <w:tc>
          <w:tcPr>
            <w:tcW w:w="2976" w:type="dxa"/>
          </w:tcPr>
          <w:p w:rsidR="00463312" w:rsidRPr="00A84DD3" w:rsidRDefault="0066169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3,15</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C65E0">
              <w:rPr>
                <w:rFonts w:ascii="Times New Roman" w:hAnsi="Times New Roman" w:cs="Times New Roman"/>
                <w:bCs/>
                <w:iCs/>
                <w:sz w:val="18"/>
                <w:szCs w:val="18"/>
              </w:rPr>
              <w:t>07</w:t>
            </w:r>
          </w:p>
        </w:tc>
        <w:tc>
          <w:tcPr>
            <w:tcW w:w="2976" w:type="dxa"/>
          </w:tcPr>
          <w:p w:rsidR="00463312" w:rsidRPr="00A84DD3" w:rsidRDefault="0066169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5,07</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661699">
        <w:rPr>
          <w:rFonts w:ascii="Times New Roman" w:hAnsi="Times New Roman" w:cs="Times New Roman"/>
          <w:sz w:val="24"/>
          <w:szCs w:val="24"/>
        </w:rPr>
        <w:t>bsługi nie zostały przekroczone, za wyjątkiem roku 2020</w:t>
      </w:r>
      <w:r w:rsidR="009979DC">
        <w:rPr>
          <w:rFonts w:ascii="Times New Roman" w:hAnsi="Times New Roman" w:cs="Times New Roman"/>
          <w:sz w:val="24"/>
          <w:szCs w:val="24"/>
        </w:rPr>
        <w:t>, który wg wskaźnika planistycznego nie został spełniony, natomiast wg wykonania wskaźnik został spełniony</w:t>
      </w:r>
      <w:r w:rsidR="00661699">
        <w:rPr>
          <w:rFonts w:ascii="Times New Roman" w:hAnsi="Times New Roman" w:cs="Times New Roman"/>
          <w:sz w:val="24"/>
          <w:szCs w:val="24"/>
        </w:rPr>
        <w:t>. W przygotowanym projekcie WPF na lata 2019-2037 wskaźnik</w:t>
      </w:r>
      <w:r w:rsidR="000655EF">
        <w:rPr>
          <w:rFonts w:ascii="Times New Roman" w:hAnsi="Times New Roman" w:cs="Times New Roman"/>
          <w:sz w:val="24"/>
          <w:szCs w:val="24"/>
        </w:rPr>
        <w:t>i</w:t>
      </w:r>
      <w:r w:rsidR="00661699">
        <w:rPr>
          <w:rFonts w:ascii="Times New Roman" w:hAnsi="Times New Roman" w:cs="Times New Roman"/>
          <w:sz w:val="24"/>
          <w:szCs w:val="24"/>
        </w:rPr>
        <w:t xml:space="preserve"> został</w:t>
      </w:r>
      <w:r w:rsidR="000655EF">
        <w:rPr>
          <w:rFonts w:ascii="Times New Roman" w:hAnsi="Times New Roman" w:cs="Times New Roman"/>
          <w:sz w:val="24"/>
          <w:szCs w:val="24"/>
        </w:rPr>
        <w:t>y</w:t>
      </w:r>
      <w:r w:rsidR="00661699">
        <w:rPr>
          <w:rFonts w:ascii="Times New Roman" w:hAnsi="Times New Roman" w:cs="Times New Roman"/>
          <w:sz w:val="24"/>
          <w:szCs w:val="24"/>
        </w:rPr>
        <w:t xml:space="preserve"> spełnion</w:t>
      </w:r>
      <w:r w:rsidR="000655EF">
        <w:rPr>
          <w:rFonts w:ascii="Times New Roman" w:hAnsi="Times New Roman" w:cs="Times New Roman"/>
          <w:sz w:val="24"/>
          <w:szCs w:val="24"/>
        </w:rPr>
        <w:t>e</w:t>
      </w:r>
      <w:r w:rsidR="00661699">
        <w:rPr>
          <w:rFonts w:ascii="Times New Roman" w:hAnsi="Times New Roman" w:cs="Times New Roman"/>
          <w:sz w:val="24"/>
          <w:szCs w:val="24"/>
        </w:rPr>
        <w:t>.</w:t>
      </w:r>
      <w:r>
        <w:rPr>
          <w:rFonts w:ascii="Times New Roman" w:hAnsi="Times New Roman" w:cs="Times New Roman"/>
          <w:sz w:val="24"/>
          <w:szCs w:val="24"/>
        </w:rPr>
        <w:t xml:space="preserve"> Należy jednak nadmienić, </w:t>
      </w:r>
      <w:r w:rsidR="00D3371E">
        <w:rPr>
          <w:rFonts w:ascii="Times New Roman" w:hAnsi="Times New Roman" w:cs="Times New Roman"/>
          <w:sz w:val="24"/>
          <w:szCs w:val="24"/>
        </w:rPr>
        <w:br/>
      </w:r>
      <w:r>
        <w:rPr>
          <w:rFonts w:ascii="Times New Roman" w:hAnsi="Times New Roman" w:cs="Times New Roman"/>
          <w:sz w:val="24"/>
          <w:szCs w:val="24"/>
        </w:rPr>
        <w:t>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bookmarkStart w:id="0" w:name="_GoBack"/>
      <w:bookmarkEnd w:id="0"/>
    </w:p>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AB0" w:rsidRDefault="00033AB0">
      <w:pPr>
        <w:spacing w:after="0" w:line="240" w:lineRule="auto"/>
      </w:pPr>
      <w:r>
        <w:separator/>
      </w:r>
    </w:p>
  </w:endnote>
  <w:endnote w:type="continuationSeparator" w:id="0">
    <w:p w:rsidR="00033AB0" w:rsidRDefault="00033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010012" w:rsidRDefault="00010012">
        <w:pPr>
          <w:pStyle w:val="Stopka"/>
          <w:jc w:val="right"/>
        </w:pPr>
        <w:r>
          <w:fldChar w:fldCharType="begin"/>
        </w:r>
        <w:r>
          <w:instrText>PAGE   \* MERGEFORMAT</w:instrText>
        </w:r>
        <w:r>
          <w:fldChar w:fldCharType="separate"/>
        </w:r>
        <w:r w:rsidR="00D3371E">
          <w:rPr>
            <w:noProof/>
          </w:rPr>
          <w:t>20</w:t>
        </w:r>
        <w:r>
          <w:fldChar w:fldCharType="end"/>
        </w:r>
      </w:p>
    </w:sdtContent>
  </w:sdt>
  <w:p w:rsidR="00010012" w:rsidRDefault="0001001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AB0" w:rsidRDefault="00033AB0">
      <w:pPr>
        <w:spacing w:after="0" w:line="240" w:lineRule="auto"/>
      </w:pPr>
      <w:r>
        <w:separator/>
      </w:r>
    </w:p>
  </w:footnote>
  <w:footnote w:type="continuationSeparator" w:id="0">
    <w:p w:rsidR="00033AB0" w:rsidRDefault="00033A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12" w:rsidRDefault="00010012"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10012"/>
    <w:rsid w:val="0002724B"/>
    <w:rsid w:val="00033AB0"/>
    <w:rsid w:val="00040AC8"/>
    <w:rsid w:val="000613FB"/>
    <w:rsid w:val="00061C9E"/>
    <w:rsid w:val="000655EF"/>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C45"/>
    <w:rsid w:val="00112940"/>
    <w:rsid w:val="00115016"/>
    <w:rsid w:val="00122BE2"/>
    <w:rsid w:val="00132AE1"/>
    <w:rsid w:val="00135768"/>
    <w:rsid w:val="0014621E"/>
    <w:rsid w:val="001559DD"/>
    <w:rsid w:val="0016669E"/>
    <w:rsid w:val="0017091F"/>
    <w:rsid w:val="001751D2"/>
    <w:rsid w:val="001823A6"/>
    <w:rsid w:val="00183DFE"/>
    <w:rsid w:val="001936F3"/>
    <w:rsid w:val="001971E6"/>
    <w:rsid w:val="001B07B4"/>
    <w:rsid w:val="001B1E62"/>
    <w:rsid w:val="001B522A"/>
    <w:rsid w:val="001C7E2E"/>
    <w:rsid w:val="001E4EEE"/>
    <w:rsid w:val="001E5696"/>
    <w:rsid w:val="0020337F"/>
    <w:rsid w:val="002045BD"/>
    <w:rsid w:val="00207D9A"/>
    <w:rsid w:val="00212550"/>
    <w:rsid w:val="00240263"/>
    <w:rsid w:val="00240408"/>
    <w:rsid w:val="00253C92"/>
    <w:rsid w:val="00271AAE"/>
    <w:rsid w:val="0028665F"/>
    <w:rsid w:val="0029307E"/>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D2938"/>
    <w:rsid w:val="003E0E47"/>
    <w:rsid w:val="0042203C"/>
    <w:rsid w:val="004258FB"/>
    <w:rsid w:val="00441420"/>
    <w:rsid w:val="00463312"/>
    <w:rsid w:val="004655D1"/>
    <w:rsid w:val="004703C1"/>
    <w:rsid w:val="004706A1"/>
    <w:rsid w:val="00482418"/>
    <w:rsid w:val="00495948"/>
    <w:rsid w:val="004A4C47"/>
    <w:rsid w:val="004B0FFC"/>
    <w:rsid w:val="004D7473"/>
    <w:rsid w:val="004F1088"/>
    <w:rsid w:val="00520830"/>
    <w:rsid w:val="00523DB7"/>
    <w:rsid w:val="0052628B"/>
    <w:rsid w:val="00534701"/>
    <w:rsid w:val="0055421C"/>
    <w:rsid w:val="0056140E"/>
    <w:rsid w:val="005614B3"/>
    <w:rsid w:val="005624C3"/>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32F75"/>
    <w:rsid w:val="006356F7"/>
    <w:rsid w:val="00636D8F"/>
    <w:rsid w:val="006529C6"/>
    <w:rsid w:val="006545AF"/>
    <w:rsid w:val="00661699"/>
    <w:rsid w:val="00667337"/>
    <w:rsid w:val="006769C2"/>
    <w:rsid w:val="0068479C"/>
    <w:rsid w:val="006919BD"/>
    <w:rsid w:val="006965ED"/>
    <w:rsid w:val="006A1909"/>
    <w:rsid w:val="006A3CF8"/>
    <w:rsid w:val="006B397D"/>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1F00"/>
    <w:rsid w:val="00754965"/>
    <w:rsid w:val="00771D52"/>
    <w:rsid w:val="00781052"/>
    <w:rsid w:val="0078710F"/>
    <w:rsid w:val="007937E9"/>
    <w:rsid w:val="007B1CD9"/>
    <w:rsid w:val="007B788F"/>
    <w:rsid w:val="007C24BF"/>
    <w:rsid w:val="007C475B"/>
    <w:rsid w:val="007C49AD"/>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27435"/>
    <w:rsid w:val="00931029"/>
    <w:rsid w:val="00932DEE"/>
    <w:rsid w:val="00937E51"/>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4B5E"/>
    <w:rsid w:val="00A31C50"/>
    <w:rsid w:val="00A347E2"/>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A3631"/>
    <w:rsid w:val="00CB6517"/>
    <w:rsid w:val="00CC543A"/>
    <w:rsid w:val="00CD1FD6"/>
    <w:rsid w:val="00CE2129"/>
    <w:rsid w:val="00CE31EB"/>
    <w:rsid w:val="00D00427"/>
    <w:rsid w:val="00D00C34"/>
    <w:rsid w:val="00D17BC8"/>
    <w:rsid w:val="00D17D46"/>
    <w:rsid w:val="00D30F94"/>
    <w:rsid w:val="00D3371E"/>
    <w:rsid w:val="00D33EE0"/>
    <w:rsid w:val="00D40498"/>
    <w:rsid w:val="00D67F4F"/>
    <w:rsid w:val="00D767A1"/>
    <w:rsid w:val="00D8331D"/>
    <w:rsid w:val="00D83A60"/>
    <w:rsid w:val="00DA1B8F"/>
    <w:rsid w:val="00DB7843"/>
    <w:rsid w:val="00DC41BE"/>
    <w:rsid w:val="00DD3654"/>
    <w:rsid w:val="00DE1528"/>
    <w:rsid w:val="00DE3227"/>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A8F16-8883-4A62-BA36-D6A004B3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21</Pages>
  <Words>7395</Words>
  <Characters>44375</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17</cp:revision>
  <cp:lastPrinted>2018-11-02T14:44:00Z</cp:lastPrinted>
  <dcterms:created xsi:type="dcterms:W3CDTF">2018-09-24T13:30:00Z</dcterms:created>
  <dcterms:modified xsi:type="dcterms:W3CDTF">2018-11-20T07:58:00Z</dcterms:modified>
</cp:coreProperties>
</file>